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985" w:type="dxa"/>
        <w:tblLayout w:type="fixed"/>
        <w:tblLook w:val="0000" w:firstRow="0" w:lastRow="0" w:firstColumn="0" w:lastColumn="0" w:noHBand="0" w:noVBand="0"/>
      </w:tblPr>
      <w:tblGrid>
        <w:gridCol w:w="1920"/>
        <w:gridCol w:w="8065"/>
      </w:tblGrid>
      <w:tr w:rsidR="008151C8" w:rsidRPr="00620B0A" w:rsidTr="00E06FF1">
        <w:trPr>
          <w:trHeight w:val="1499"/>
        </w:trPr>
        <w:tc>
          <w:tcPr>
            <w:tcW w:w="1920" w:type="dxa"/>
          </w:tcPr>
          <w:p w:rsidR="008151C8" w:rsidRPr="00620B0A" w:rsidRDefault="00B05961" w:rsidP="00E42FD2">
            <w:pPr>
              <w:ind w:right="-534"/>
              <w:rPr>
                <w:sz w:val="20"/>
                <w:szCs w:val="20"/>
                <w:lang w:val="en-GB" w:eastAsia="en-US"/>
              </w:rPr>
            </w:pPr>
            <w:bookmarkStart w:id="0" w:name="_GoBack"/>
            <w:bookmarkEnd w:id="0"/>
            <w:r>
              <w:rPr>
                <w:noProof/>
                <w:sz w:val="20"/>
                <w:szCs w:val="20"/>
                <w:lang w:val="en-US" w:eastAsia="en-US"/>
              </w:rPr>
              <w:drawing>
                <wp:inline distT="0" distB="0" distL="0" distR="0">
                  <wp:extent cx="895350" cy="895350"/>
                  <wp:effectExtent l="0" t="0" r="0" b="0"/>
                  <wp:docPr id="1" name="Picture 4" descr="SIGLA_INS_COLOR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_INS_COLOR_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8065" w:type="dxa"/>
            <w:tcBorders>
              <w:top w:val="single" w:sz="4" w:space="0" w:color="auto"/>
              <w:bottom w:val="single" w:sz="4" w:space="0" w:color="auto"/>
            </w:tcBorders>
            <w:shd w:val="clear" w:color="auto" w:fill="FFFFFF"/>
          </w:tcPr>
          <w:p w:rsidR="008151C8" w:rsidRPr="003F2D28" w:rsidRDefault="008151C8" w:rsidP="00E42FD2">
            <w:pPr>
              <w:keepNext/>
              <w:jc w:val="center"/>
              <w:outlineLvl w:val="7"/>
              <w:rPr>
                <w:b/>
                <w:bCs/>
                <w:sz w:val="32"/>
                <w:szCs w:val="20"/>
                <w:lang w:val="es-ES" w:eastAsia="en-US"/>
              </w:rPr>
            </w:pPr>
            <w:r w:rsidRPr="003F2D28">
              <w:rPr>
                <w:b/>
                <w:bCs/>
                <w:sz w:val="32"/>
                <w:szCs w:val="20"/>
                <w:lang w:val="es-ES" w:eastAsia="en-US"/>
              </w:rPr>
              <w:t>INSTITUTUL NAŢIONAL DE STATISTICĂ</w:t>
            </w:r>
          </w:p>
          <w:p w:rsidR="008151C8" w:rsidRPr="003F2D28" w:rsidRDefault="008151C8" w:rsidP="00E42FD2">
            <w:pPr>
              <w:keepNext/>
              <w:ind w:left="-142"/>
              <w:jc w:val="center"/>
              <w:outlineLvl w:val="1"/>
              <w:rPr>
                <w:rFonts w:ascii="Tahoma" w:hAnsi="Tahoma" w:cs="Tahoma"/>
                <w:b/>
                <w:caps/>
                <w:color w:val="333399"/>
                <w:sz w:val="26"/>
                <w:szCs w:val="26"/>
                <w:lang w:val="es-ES" w:eastAsia="en-US"/>
              </w:rPr>
            </w:pPr>
            <w:r w:rsidRPr="003F2D28">
              <w:rPr>
                <w:rFonts w:ascii="Tahoma" w:hAnsi="Tahoma" w:cs="Tahoma"/>
                <w:b/>
                <w:caps/>
                <w:color w:val="333399"/>
                <w:sz w:val="26"/>
                <w:szCs w:val="26"/>
                <w:lang w:val="es-ES" w:eastAsia="en-US"/>
              </w:rPr>
              <w:t>DirecŢia JudeŢeanĂ de StatisticĂ BuzĂu</w:t>
            </w:r>
          </w:p>
          <w:p w:rsidR="008151C8" w:rsidRPr="00745BD4" w:rsidRDefault="008151C8" w:rsidP="00E42FD2">
            <w:pPr>
              <w:jc w:val="center"/>
              <w:rPr>
                <w:sz w:val="20"/>
                <w:szCs w:val="20"/>
                <w:lang w:eastAsia="en-US"/>
              </w:rPr>
            </w:pPr>
            <w:r w:rsidRPr="003F2D28">
              <w:rPr>
                <w:sz w:val="20"/>
                <w:szCs w:val="20"/>
                <w:lang w:val="it-IT" w:eastAsia="en-US"/>
              </w:rPr>
              <w:t>Strada Ion Băieşu,</w:t>
            </w:r>
            <w:r w:rsidR="00B91E1F">
              <w:rPr>
                <w:sz w:val="20"/>
                <w:szCs w:val="20"/>
                <w:lang w:val="it-IT" w:eastAsia="en-US"/>
              </w:rPr>
              <w:t xml:space="preserve"> nr. 8-10,</w:t>
            </w:r>
            <w:r w:rsidRPr="003F2D28">
              <w:rPr>
                <w:sz w:val="20"/>
                <w:szCs w:val="20"/>
                <w:lang w:val="it-IT" w:eastAsia="en-US"/>
              </w:rPr>
              <w:t xml:space="preserve"> bloc. D1-D2, parter </w:t>
            </w:r>
          </w:p>
          <w:p w:rsidR="008151C8" w:rsidRPr="003F2D28" w:rsidRDefault="008151C8" w:rsidP="00E42FD2">
            <w:pPr>
              <w:jc w:val="center"/>
              <w:rPr>
                <w:sz w:val="20"/>
                <w:szCs w:val="20"/>
                <w:lang w:val="it-IT" w:eastAsia="en-US"/>
              </w:rPr>
            </w:pPr>
            <w:r w:rsidRPr="003F2D28">
              <w:rPr>
                <w:sz w:val="20"/>
                <w:szCs w:val="20"/>
                <w:lang w:val="it-IT" w:eastAsia="en-US"/>
              </w:rPr>
              <w:t>Telefon: 0238.719.718 Fax: 0238.719.719</w:t>
            </w:r>
          </w:p>
          <w:p w:rsidR="008151C8" w:rsidRPr="00620B0A" w:rsidRDefault="008151C8" w:rsidP="00E42FD2">
            <w:pPr>
              <w:jc w:val="center"/>
              <w:rPr>
                <w:rFonts w:ascii="Arial-Rom" w:hAnsi="Arial-Rom"/>
                <w:b/>
                <w:szCs w:val="20"/>
                <w:lang w:val="it-IT" w:eastAsia="en-US"/>
              </w:rPr>
            </w:pPr>
            <w:r w:rsidRPr="00620B0A">
              <w:rPr>
                <w:b/>
                <w:sz w:val="20"/>
                <w:szCs w:val="20"/>
                <w:lang w:val="it-IT" w:eastAsia="en-US"/>
              </w:rPr>
              <w:t>e-</w:t>
            </w:r>
            <w:r>
              <w:rPr>
                <w:b/>
                <w:sz w:val="20"/>
                <w:szCs w:val="20"/>
                <w:lang w:val="it-IT" w:eastAsia="en-US"/>
              </w:rPr>
              <w:t>mai</w:t>
            </w:r>
            <w:r w:rsidRPr="00620B0A">
              <w:rPr>
                <w:b/>
                <w:sz w:val="20"/>
                <w:szCs w:val="20"/>
                <w:lang w:val="it-IT" w:eastAsia="en-US"/>
              </w:rPr>
              <w:t xml:space="preserve">l : </w:t>
            </w:r>
            <w:hyperlink r:id="rId9" w:history="1">
              <w:r w:rsidRPr="00620B0A">
                <w:rPr>
                  <w:b/>
                  <w:sz w:val="20"/>
                  <w:szCs w:val="20"/>
                  <w:lang w:val="it-IT" w:eastAsia="en-US"/>
                </w:rPr>
                <w:t>tele@buzau.insse.ro</w:t>
              </w:r>
            </w:hyperlink>
            <w:r w:rsidRPr="00620B0A">
              <w:rPr>
                <w:b/>
                <w:sz w:val="20"/>
                <w:szCs w:val="20"/>
                <w:lang w:val="it-IT" w:eastAsia="en-US"/>
              </w:rPr>
              <w:t xml:space="preserve">         http://www.buzau.insse.ro</w:t>
            </w:r>
          </w:p>
        </w:tc>
      </w:tr>
    </w:tbl>
    <w:p w:rsidR="008151C8" w:rsidRDefault="008151C8" w:rsidP="00745BD4">
      <w:pPr>
        <w:jc w:val="center"/>
        <w:rPr>
          <w:noProof/>
          <w:lang w:val="en-US" w:eastAsia="en-US"/>
        </w:rPr>
      </w:pPr>
    </w:p>
    <w:p w:rsidR="008151C8" w:rsidRPr="00217096" w:rsidRDefault="008151C8" w:rsidP="004C3A30">
      <w:pPr>
        <w:jc w:val="center"/>
        <w:rPr>
          <w:rFonts w:ascii="Tahoma" w:hAnsi="Tahoma" w:cs="Tahoma"/>
          <w:b/>
          <w:caps/>
          <w:sz w:val="16"/>
          <w:szCs w:val="16"/>
        </w:rPr>
      </w:pPr>
    </w:p>
    <w:p w:rsidR="008151C8" w:rsidRPr="00BE274E" w:rsidRDefault="00AF65A0" w:rsidP="004C3A30">
      <w:pPr>
        <w:jc w:val="center"/>
        <w:rPr>
          <w:rFonts w:ascii="Tahoma" w:hAnsi="Tahoma" w:cs="Tahoma"/>
          <w:b/>
          <w:caps/>
          <w:sz w:val="32"/>
          <w:szCs w:val="32"/>
        </w:rPr>
      </w:pPr>
      <w:r>
        <w:rPr>
          <w:rFonts w:ascii="Tahoma" w:hAnsi="Tahoma" w:cs="Tahoma"/>
          <w:b/>
          <w:caps/>
          <w:sz w:val="32"/>
          <w:szCs w:val="32"/>
        </w:rPr>
        <w:t>I.</w:t>
      </w:r>
      <w:r w:rsidR="008151C8" w:rsidRPr="00BE274E">
        <w:rPr>
          <w:rFonts w:ascii="Tahoma" w:hAnsi="Tahoma" w:cs="Tahoma"/>
          <w:b/>
          <w:caps/>
          <w:sz w:val="32"/>
          <w:szCs w:val="32"/>
        </w:rPr>
        <w:t>Analiza principalilor indicatori economico-sociali</w:t>
      </w:r>
    </w:p>
    <w:p w:rsidR="008151C8" w:rsidRDefault="008151C8" w:rsidP="004C3A30">
      <w:pPr>
        <w:jc w:val="center"/>
        <w:rPr>
          <w:rFonts w:ascii="Tahoma" w:hAnsi="Tahoma" w:cs="Tahoma"/>
          <w:b/>
          <w:caps/>
          <w:sz w:val="32"/>
          <w:szCs w:val="32"/>
        </w:rPr>
      </w:pPr>
      <w:r w:rsidRPr="00BE274E">
        <w:rPr>
          <w:rFonts w:ascii="Tahoma" w:hAnsi="Tahoma" w:cs="Tahoma"/>
          <w:b/>
          <w:caps/>
          <w:sz w:val="32"/>
          <w:szCs w:val="32"/>
        </w:rPr>
        <w:t xml:space="preserve">din judeţul Buzău </w:t>
      </w:r>
      <w:smartTag w:uri="urn:schemas-microsoft-com:office:smarttags" w:element="PersonName">
        <w:smartTagPr>
          <w:attr w:name="ProductID" w:val="LA SFÂRŞITUL LUNII"/>
        </w:smartTagPr>
        <w:r w:rsidRPr="00BE274E">
          <w:rPr>
            <w:rFonts w:ascii="Tahoma" w:hAnsi="Tahoma" w:cs="Tahoma"/>
            <w:b/>
            <w:caps/>
            <w:sz w:val="32"/>
            <w:szCs w:val="32"/>
          </w:rPr>
          <w:t>la sfârşitul lunii</w:t>
        </w:r>
      </w:smartTag>
      <w:r w:rsidRPr="00BE274E">
        <w:rPr>
          <w:rFonts w:ascii="Tahoma" w:hAnsi="Tahoma" w:cs="Tahoma"/>
          <w:b/>
          <w:caps/>
          <w:sz w:val="32"/>
          <w:szCs w:val="32"/>
        </w:rPr>
        <w:t xml:space="preserve"> </w:t>
      </w:r>
    </w:p>
    <w:p w:rsidR="008151C8" w:rsidRPr="00BE274E" w:rsidRDefault="00DA6F5C" w:rsidP="004C3A30">
      <w:pPr>
        <w:jc w:val="center"/>
        <w:rPr>
          <w:rFonts w:ascii="Tahoma" w:hAnsi="Tahoma" w:cs="Tahoma"/>
          <w:b/>
          <w:caps/>
          <w:sz w:val="32"/>
          <w:szCs w:val="32"/>
        </w:rPr>
      </w:pPr>
      <w:r>
        <w:rPr>
          <w:rFonts w:ascii="Tahoma" w:hAnsi="Tahoma" w:cs="Tahoma"/>
          <w:b/>
          <w:caps/>
          <w:sz w:val="32"/>
          <w:szCs w:val="32"/>
        </w:rPr>
        <w:t>decembrie</w:t>
      </w:r>
      <w:r w:rsidR="00D45A89">
        <w:rPr>
          <w:rFonts w:ascii="Tahoma" w:hAnsi="Tahoma" w:cs="Tahoma"/>
          <w:b/>
          <w:caps/>
          <w:sz w:val="32"/>
          <w:szCs w:val="32"/>
        </w:rPr>
        <w:t xml:space="preserve"> 2020</w:t>
      </w:r>
      <w:r w:rsidR="008151C8" w:rsidRPr="00BE274E">
        <w:rPr>
          <w:rFonts w:ascii="Tahoma" w:hAnsi="Tahoma" w:cs="Tahoma"/>
          <w:b/>
          <w:caps/>
          <w:sz w:val="32"/>
          <w:szCs w:val="32"/>
        </w:rPr>
        <w:t xml:space="preserve"> </w:t>
      </w:r>
    </w:p>
    <w:p w:rsidR="008151C8" w:rsidRPr="00BE274E" w:rsidRDefault="008151C8" w:rsidP="00462DC1">
      <w:pPr>
        <w:jc w:val="center"/>
        <w:rPr>
          <w:rFonts w:ascii="Tahoma" w:hAnsi="Tahoma" w:cs="Tahoma"/>
        </w:rPr>
      </w:pPr>
    </w:p>
    <w:p w:rsidR="008151C8" w:rsidRPr="00BE274E" w:rsidRDefault="008151C8" w:rsidP="00BE274E">
      <w:pPr>
        <w:numPr>
          <w:ilvl w:val="0"/>
          <w:numId w:val="2"/>
        </w:numPr>
        <w:spacing w:line="360" w:lineRule="auto"/>
        <w:jc w:val="both"/>
        <w:rPr>
          <w:rFonts w:ascii="Tahoma" w:hAnsi="Tahoma" w:cs="Tahoma"/>
          <w:u w:val="single"/>
        </w:rPr>
      </w:pPr>
      <w:r w:rsidRPr="00BE274E">
        <w:rPr>
          <w:rFonts w:ascii="Tahoma" w:hAnsi="Tahoma" w:cs="Tahoma"/>
          <w:b/>
          <w:u w:val="single"/>
        </w:rPr>
        <w:t>INDUSTRIA</w:t>
      </w:r>
    </w:p>
    <w:p w:rsidR="008151C8" w:rsidRDefault="008151C8" w:rsidP="00BE274E">
      <w:pPr>
        <w:spacing w:line="360" w:lineRule="auto"/>
        <w:ind w:firstLine="705"/>
        <w:jc w:val="both"/>
        <w:rPr>
          <w:rFonts w:ascii="Tahoma" w:hAnsi="Tahoma" w:cs="Tahoma"/>
        </w:rPr>
      </w:pPr>
      <w:r w:rsidRPr="00BE274E">
        <w:rPr>
          <w:rFonts w:ascii="Tahoma" w:hAnsi="Tahoma" w:cs="Tahoma"/>
        </w:rPr>
        <w:t>Indicele producţiei industrial</w:t>
      </w:r>
      <w:r>
        <w:rPr>
          <w:rFonts w:ascii="Tahoma" w:hAnsi="Tahoma" w:cs="Tahoma"/>
        </w:rPr>
        <w:t xml:space="preserve">e a înregistrat în luna </w:t>
      </w:r>
      <w:r w:rsidR="00DA6F5C">
        <w:rPr>
          <w:rFonts w:ascii="Tahoma" w:hAnsi="Tahoma" w:cs="Tahoma"/>
        </w:rPr>
        <w:t>decembrie</w:t>
      </w:r>
      <w:r w:rsidR="00D45A89">
        <w:rPr>
          <w:rFonts w:ascii="Tahoma" w:hAnsi="Tahoma" w:cs="Tahoma"/>
        </w:rPr>
        <w:t xml:space="preserve"> 2020</w:t>
      </w:r>
      <w:r w:rsidR="006B5C78">
        <w:rPr>
          <w:rFonts w:ascii="Tahoma" w:hAnsi="Tahoma" w:cs="Tahoma"/>
        </w:rPr>
        <w:t xml:space="preserve"> o creștere</w:t>
      </w:r>
      <w:r w:rsidR="007A5F69">
        <w:rPr>
          <w:rFonts w:ascii="Tahoma" w:hAnsi="Tahoma" w:cs="Tahoma"/>
        </w:rPr>
        <w:t xml:space="preserve"> cu </w:t>
      </w:r>
      <w:r w:rsidR="00DA6F5C">
        <w:rPr>
          <w:rFonts w:ascii="Tahoma" w:hAnsi="Tahoma" w:cs="Tahoma"/>
        </w:rPr>
        <w:t>7</w:t>
      </w:r>
      <w:r w:rsidR="00FD7394">
        <w:rPr>
          <w:rFonts w:ascii="Tahoma" w:hAnsi="Tahoma" w:cs="Tahoma"/>
        </w:rPr>
        <w:t>,</w:t>
      </w:r>
      <w:r w:rsidR="00DA6F5C">
        <w:rPr>
          <w:rFonts w:ascii="Tahoma" w:hAnsi="Tahoma" w:cs="Tahoma"/>
        </w:rPr>
        <w:t>3</w:t>
      </w:r>
      <w:r>
        <w:rPr>
          <w:rFonts w:ascii="Tahoma" w:hAnsi="Tahoma" w:cs="Tahoma"/>
        </w:rPr>
        <w:t xml:space="preserve"> % comparativ cu luna </w:t>
      </w:r>
      <w:r w:rsidR="00DA6F5C">
        <w:rPr>
          <w:rFonts w:ascii="Tahoma" w:hAnsi="Tahoma" w:cs="Tahoma"/>
        </w:rPr>
        <w:t>decembrie</w:t>
      </w:r>
      <w:r w:rsidRPr="00BE274E">
        <w:rPr>
          <w:rFonts w:ascii="Tahoma" w:hAnsi="Tahoma" w:cs="Tahoma"/>
        </w:rPr>
        <w:t xml:space="preserve"> a anului precedent.</w:t>
      </w:r>
    </w:p>
    <w:p w:rsidR="00CB4E56" w:rsidRDefault="00FD7394" w:rsidP="00BE274E">
      <w:pPr>
        <w:spacing w:line="360" w:lineRule="auto"/>
        <w:ind w:firstLine="705"/>
        <w:jc w:val="both"/>
        <w:rPr>
          <w:rFonts w:ascii="Tahoma" w:hAnsi="Tahoma" w:cs="Tahoma"/>
        </w:rPr>
      </w:pPr>
      <w:r>
        <w:rPr>
          <w:rFonts w:ascii="Tahoma" w:hAnsi="Tahoma" w:cs="Tahoma"/>
        </w:rPr>
        <w:t>În perioada 01.01. – 3</w:t>
      </w:r>
      <w:r w:rsidR="00DA6F5C">
        <w:rPr>
          <w:rFonts w:ascii="Tahoma" w:hAnsi="Tahoma" w:cs="Tahoma"/>
        </w:rPr>
        <w:t>1</w:t>
      </w:r>
      <w:r>
        <w:rPr>
          <w:rFonts w:ascii="Tahoma" w:hAnsi="Tahoma" w:cs="Tahoma"/>
        </w:rPr>
        <w:t>.1</w:t>
      </w:r>
      <w:r w:rsidR="00DA6F5C">
        <w:rPr>
          <w:rFonts w:ascii="Tahoma" w:hAnsi="Tahoma" w:cs="Tahoma"/>
        </w:rPr>
        <w:t>2</w:t>
      </w:r>
      <w:r w:rsidR="00CB4E56">
        <w:rPr>
          <w:rFonts w:ascii="Tahoma" w:hAnsi="Tahoma" w:cs="Tahoma"/>
        </w:rPr>
        <w:t>.2020 comparativ cu aceeaşi perioadă a anului 2019</w:t>
      </w:r>
      <w:r>
        <w:rPr>
          <w:rFonts w:ascii="Tahoma" w:hAnsi="Tahoma" w:cs="Tahoma"/>
        </w:rPr>
        <w:t xml:space="preserve"> s-a înregistrat o creştere cu 7,1</w:t>
      </w:r>
      <w:r w:rsidR="00CB4E56">
        <w:rPr>
          <w:rFonts w:ascii="Tahoma" w:hAnsi="Tahoma" w:cs="Tahoma"/>
        </w:rPr>
        <w:t xml:space="preserve"> %.</w:t>
      </w:r>
    </w:p>
    <w:p w:rsidR="008151C8" w:rsidRDefault="00FD7394" w:rsidP="00114CC4">
      <w:pPr>
        <w:spacing w:line="360" w:lineRule="auto"/>
        <w:ind w:firstLine="705"/>
        <w:jc w:val="both"/>
        <w:rPr>
          <w:rFonts w:ascii="Tahoma" w:hAnsi="Tahoma" w:cs="Tahoma"/>
        </w:rPr>
      </w:pPr>
      <w:r>
        <w:rPr>
          <w:rFonts w:ascii="Tahoma" w:hAnsi="Tahoma" w:cs="Tahoma"/>
        </w:rPr>
        <w:t>Pe parcursul anului 2020</w:t>
      </w:r>
      <w:r w:rsidR="008151C8">
        <w:rPr>
          <w:rFonts w:ascii="Tahoma" w:hAnsi="Tahoma" w:cs="Tahoma"/>
        </w:rPr>
        <w:t xml:space="preserve">, în luna </w:t>
      </w:r>
      <w:r>
        <w:rPr>
          <w:rFonts w:ascii="Tahoma" w:hAnsi="Tahoma" w:cs="Tahoma"/>
        </w:rPr>
        <w:t>august</w:t>
      </w:r>
      <w:r w:rsidR="008151C8" w:rsidRPr="00BE274E">
        <w:rPr>
          <w:rFonts w:ascii="Tahoma" w:hAnsi="Tahoma" w:cs="Tahoma"/>
        </w:rPr>
        <w:t xml:space="preserve"> s-a înregistrat cea </w:t>
      </w:r>
      <w:r w:rsidR="008151C8">
        <w:rPr>
          <w:rFonts w:ascii="Tahoma" w:hAnsi="Tahoma" w:cs="Tahoma"/>
        </w:rPr>
        <w:t>mai</w:t>
      </w:r>
      <w:r w:rsidR="008151C8" w:rsidRPr="00BE274E">
        <w:rPr>
          <w:rFonts w:ascii="Tahoma" w:hAnsi="Tahoma" w:cs="Tahoma"/>
        </w:rPr>
        <w:t xml:space="preserve"> mare creştere a indice</w:t>
      </w:r>
      <w:r w:rsidR="008151C8">
        <w:rPr>
          <w:rFonts w:ascii="Tahoma" w:hAnsi="Tahoma" w:cs="Tahoma"/>
        </w:rPr>
        <w:t>lui producţiei industriale (</w:t>
      </w:r>
      <w:r>
        <w:rPr>
          <w:rFonts w:ascii="Tahoma" w:hAnsi="Tahoma" w:cs="Tahoma"/>
        </w:rPr>
        <w:t>+24,8%) comparativ cu luna august</w:t>
      </w:r>
      <w:r w:rsidR="008151C8">
        <w:rPr>
          <w:rFonts w:ascii="Tahoma" w:hAnsi="Tahoma" w:cs="Tahoma"/>
        </w:rPr>
        <w:t xml:space="preserve"> a anului precedent</w:t>
      </w:r>
      <w:r w:rsidR="008151C8" w:rsidRPr="00BE274E">
        <w:rPr>
          <w:rFonts w:ascii="Tahoma" w:hAnsi="Tahoma" w:cs="Tahoma"/>
        </w:rPr>
        <w:t xml:space="preserve">, </w:t>
      </w:r>
      <w:r w:rsidR="008151C8">
        <w:rPr>
          <w:rFonts w:ascii="Tahoma" w:hAnsi="Tahoma" w:cs="Tahoma"/>
        </w:rPr>
        <w:t xml:space="preserve">iar </w:t>
      </w:r>
      <w:r w:rsidR="008151C8" w:rsidRPr="00BE274E">
        <w:rPr>
          <w:rFonts w:ascii="Tahoma" w:hAnsi="Tahoma" w:cs="Tahoma"/>
        </w:rPr>
        <w:t xml:space="preserve">cea </w:t>
      </w:r>
      <w:r w:rsidR="008151C8">
        <w:rPr>
          <w:rFonts w:ascii="Tahoma" w:hAnsi="Tahoma" w:cs="Tahoma"/>
        </w:rPr>
        <w:t>mai</w:t>
      </w:r>
      <w:r w:rsidR="008151C8" w:rsidRPr="00BE274E">
        <w:rPr>
          <w:rFonts w:ascii="Tahoma" w:hAnsi="Tahoma" w:cs="Tahoma"/>
        </w:rPr>
        <w:t xml:space="preserve"> mare scăde</w:t>
      </w:r>
      <w:r w:rsidR="008151C8">
        <w:rPr>
          <w:rFonts w:ascii="Tahoma" w:hAnsi="Tahoma" w:cs="Tahoma"/>
        </w:rPr>
        <w:t xml:space="preserve">re s-a înregistrat în luna </w:t>
      </w:r>
      <w:r w:rsidR="004D2277">
        <w:rPr>
          <w:rFonts w:ascii="Tahoma" w:hAnsi="Tahoma" w:cs="Tahoma"/>
        </w:rPr>
        <w:t>mai (- 26,7</w:t>
      </w:r>
      <w:r w:rsidR="008151C8" w:rsidRPr="00BE274E">
        <w:rPr>
          <w:rFonts w:ascii="Tahoma" w:hAnsi="Tahoma" w:cs="Tahoma"/>
        </w:rPr>
        <w:t xml:space="preserve"> %).</w:t>
      </w:r>
    </w:p>
    <w:p w:rsidR="008151C8" w:rsidRPr="004C3A30" w:rsidRDefault="008151C8" w:rsidP="00D91447">
      <w:pPr>
        <w:tabs>
          <w:tab w:val="left" w:pos="9167"/>
        </w:tabs>
        <w:jc w:val="center"/>
        <w:rPr>
          <w:rFonts w:ascii="Tahoma" w:hAnsi="Tahoma" w:cs="Tahoma"/>
          <w:b/>
        </w:rPr>
      </w:pPr>
      <w:r w:rsidRPr="004C3A30">
        <w:rPr>
          <w:rFonts w:ascii="Tahoma" w:hAnsi="Tahoma" w:cs="Tahoma"/>
          <w:b/>
        </w:rPr>
        <w:t>INDICII PRODUCŢIEI INDUSTRIALE</w:t>
      </w:r>
    </w:p>
    <w:p w:rsidR="008151C8" w:rsidRDefault="008151C8" w:rsidP="00D91447">
      <w:pPr>
        <w:tabs>
          <w:tab w:val="left" w:pos="142"/>
          <w:tab w:val="left" w:pos="284"/>
        </w:tabs>
        <w:jc w:val="center"/>
        <w:rPr>
          <w:rFonts w:ascii="Tahoma" w:hAnsi="Tahoma" w:cs="Tahoma"/>
        </w:rPr>
      </w:pPr>
      <w:r w:rsidRPr="004C3A30">
        <w:rPr>
          <w:rFonts w:ascii="Tahoma" w:hAnsi="Tahoma" w:cs="Tahoma"/>
        </w:rPr>
        <w:t>serie brută</w:t>
      </w:r>
    </w:p>
    <w:p w:rsidR="008151C8" w:rsidRPr="00CE523B" w:rsidRDefault="008151C8" w:rsidP="00CE523B">
      <w:pPr>
        <w:tabs>
          <w:tab w:val="left" w:pos="142"/>
          <w:tab w:val="left" w:pos="284"/>
        </w:tabs>
        <w:jc w:val="right"/>
        <w:rPr>
          <w:rFonts w:ascii="Tahoma" w:hAnsi="Tahoma" w:cs="Tahoma"/>
          <w:sz w:val="12"/>
          <w:szCs w:val="12"/>
        </w:rPr>
      </w:pPr>
      <w:r>
        <w:rPr>
          <w:rFonts w:ascii="Tahoma" w:hAnsi="Tahoma" w:cs="Tahoma"/>
          <w:sz w:val="12"/>
          <w:szCs w:val="12"/>
        </w:rPr>
        <w:tab/>
      </w:r>
      <w:r>
        <w:rPr>
          <w:rFonts w:ascii="Tahoma" w:hAnsi="Tahoma" w:cs="Tahoma"/>
          <w:sz w:val="12"/>
          <w:szCs w:val="12"/>
        </w:rPr>
        <w:tab/>
      </w:r>
      <w:r>
        <w:rPr>
          <w:rFonts w:ascii="Tahoma" w:hAnsi="Tahoma" w:cs="Tahoma"/>
          <w:sz w:val="12"/>
          <w:szCs w:val="12"/>
        </w:rPr>
        <w:tab/>
      </w:r>
      <w:r>
        <w:rPr>
          <w:rFonts w:ascii="Tahoma" w:hAnsi="Tahoma" w:cs="Tahoma"/>
          <w:sz w:val="12"/>
          <w:szCs w:val="12"/>
        </w:rPr>
        <w:tab/>
      </w:r>
      <w:r>
        <w:rPr>
          <w:rFonts w:ascii="Tahoma" w:hAnsi="Tahoma" w:cs="Tahoma"/>
          <w:sz w:val="12"/>
          <w:szCs w:val="12"/>
        </w:rPr>
        <w:tab/>
      </w:r>
      <w:r>
        <w:rPr>
          <w:rFonts w:ascii="Tahoma" w:hAnsi="Tahoma" w:cs="Tahoma"/>
          <w:sz w:val="12"/>
          <w:szCs w:val="12"/>
        </w:rPr>
        <w:tab/>
      </w:r>
      <w:r>
        <w:rPr>
          <w:rFonts w:ascii="Tahoma" w:hAnsi="Tahoma" w:cs="Tahoma"/>
          <w:sz w:val="12"/>
          <w:szCs w:val="12"/>
        </w:rPr>
        <w:tab/>
      </w:r>
      <w:r>
        <w:rPr>
          <w:rFonts w:ascii="Tahoma" w:hAnsi="Tahoma" w:cs="Tahoma"/>
          <w:sz w:val="12"/>
          <w:szCs w:val="12"/>
        </w:rPr>
        <w:tab/>
      </w:r>
      <w:r>
        <w:rPr>
          <w:rFonts w:ascii="Tahoma" w:hAnsi="Tahoma" w:cs="Tahoma"/>
          <w:sz w:val="12"/>
          <w:szCs w:val="12"/>
        </w:rPr>
        <w:tab/>
      </w:r>
      <w:r>
        <w:rPr>
          <w:rFonts w:ascii="Tahoma" w:hAnsi="Tahoma" w:cs="Tahoma"/>
          <w:sz w:val="12"/>
          <w:szCs w:val="12"/>
        </w:rPr>
        <w:tab/>
      </w:r>
      <w:r>
        <w:rPr>
          <w:rFonts w:ascii="Tahoma" w:hAnsi="Tahoma" w:cs="Tahoma"/>
          <w:sz w:val="12"/>
          <w:szCs w:val="12"/>
        </w:rPr>
        <w:tab/>
      </w:r>
      <w:r>
        <w:rPr>
          <w:rFonts w:ascii="Tahoma" w:hAnsi="Tahoma" w:cs="Tahoma"/>
          <w:sz w:val="12"/>
          <w:szCs w:val="12"/>
        </w:rPr>
        <w:tab/>
      </w:r>
      <w:r>
        <w:rPr>
          <w:rFonts w:ascii="Tahoma" w:hAnsi="Tahoma" w:cs="Tahoma"/>
          <w:sz w:val="12"/>
          <w:szCs w:val="12"/>
        </w:rPr>
        <w:tab/>
      </w:r>
      <w:r>
        <w:rPr>
          <w:rFonts w:ascii="Tahoma" w:hAnsi="Tahoma" w:cs="Tahoma"/>
          <w:sz w:val="12"/>
          <w:szCs w:val="12"/>
        </w:rPr>
        <w:tab/>
      </w:r>
      <w:r>
        <w:rPr>
          <w:rFonts w:ascii="Tahoma" w:hAnsi="Tahoma" w:cs="Tahoma"/>
          <w:sz w:val="12"/>
          <w:szCs w:val="12"/>
        </w:rPr>
        <w:tab/>
      </w:r>
      <w:r>
        <w:rPr>
          <w:rFonts w:ascii="Tahoma" w:hAnsi="Tahoma" w:cs="Tahoma"/>
          <w:sz w:val="12"/>
          <w:szCs w:val="12"/>
        </w:rPr>
        <w:tab/>
      </w:r>
      <w:r w:rsidRPr="00CE523B">
        <w:rPr>
          <w:rFonts w:ascii="Tahoma" w:hAnsi="Tahoma" w:cs="Tahoma"/>
          <w:sz w:val="12"/>
          <w:szCs w:val="12"/>
        </w:rPr>
        <w:t>(%)</w:t>
      </w:r>
    </w:p>
    <w:p w:rsidR="008151C8" w:rsidRPr="001F2F0D" w:rsidRDefault="008151C8" w:rsidP="00D77618">
      <w:pPr>
        <w:rPr>
          <w:rStyle w:val="Strong"/>
          <w:rFonts w:ascii="Arial Narrow" w:hAnsi="Arial Narrow"/>
          <w:sz w:val="4"/>
          <w:szCs w:val="4"/>
          <w:vertAlign w:val="superscript"/>
        </w:rPr>
      </w:pPr>
    </w:p>
    <w:p w:rsidR="008151C8" w:rsidRPr="001F2F0D" w:rsidRDefault="008151C8" w:rsidP="00256F49">
      <w:pPr>
        <w:rPr>
          <w:rStyle w:val="Strong"/>
          <w:rFonts w:ascii="Arial Narrow" w:hAnsi="Arial Narrow"/>
          <w:sz w:val="4"/>
          <w:szCs w:val="4"/>
          <w:vertAlign w:val="superscript"/>
        </w:rPr>
      </w:pPr>
    </w:p>
    <w:p w:rsidR="008151C8" w:rsidRPr="003F2D28" w:rsidRDefault="00D32F29" w:rsidP="00D77618">
      <w:pPr>
        <w:rPr>
          <w:rFonts w:ascii="Arial Narrow" w:hAnsi="Arial Narrow" w:cs="Arial"/>
          <w:b/>
          <w:sz w:val="16"/>
          <w:szCs w:val="16"/>
        </w:rPr>
      </w:pPr>
      <w:r w:rsidRPr="00D32F29">
        <w:rPr>
          <w:noProof/>
          <w:lang w:val="en-US" w:eastAsia="en-US"/>
        </w:rPr>
        <w:drawing>
          <wp:inline distT="0" distB="0" distL="0" distR="0">
            <wp:extent cx="6480175" cy="639535"/>
            <wp:effectExtent l="0" t="0" r="0" b="825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639535"/>
                    </a:xfrm>
                    <a:prstGeom prst="rect">
                      <a:avLst/>
                    </a:prstGeom>
                    <a:noFill/>
                    <a:ln>
                      <a:noFill/>
                    </a:ln>
                  </pic:spPr>
                </pic:pic>
              </a:graphicData>
            </a:graphic>
          </wp:inline>
        </w:drawing>
      </w:r>
    </w:p>
    <w:p w:rsidR="008151C8" w:rsidRPr="003F2D28" w:rsidRDefault="008151C8" w:rsidP="00E25EA1">
      <w:pPr>
        <w:rPr>
          <w:rFonts w:ascii="Arial Narrow" w:hAnsi="Arial Narrow" w:cs="Arial"/>
          <w:b/>
          <w:bCs/>
          <w:sz w:val="16"/>
          <w:szCs w:val="16"/>
          <w:lang w:val="it-IT"/>
        </w:rPr>
      </w:pPr>
      <w:r>
        <w:rPr>
          <w:rFonts w:ascii="Arial Narrow" w:hAnsi="Arial Narrow" w:cs="Arial"/>
          <w:b/>
          <w:bCs/>
          <w:sz w:val="16"/>
          <w:szCs w:val="16"/>
          <w:vertAlign w:val="superscript"/>
        </w:rPr>
        <w:t xml:space="preserve">1) </w:t>
      </w:r>
      <w:r w:rsidR="00A723F1">
        <w:rPr>
          <w:rFonts w:ascii="Arial Narrow" w:hAnsi="Arial Narrow" w:cs="Arial"/>
          <w:sz w:val="16"/>
          <w:szCs w:val="16"/>
          <w:lang w:val="it-IT"/>
        </w:rPr>
        <w:t xml:space="preserve">Date </w:t>
      </w:r>
      <w:r w:rsidR="00442ECE">
        <w:rPr>
          <w:rFonts w:ascii="Arial Narrow" w:hAnsi="Arial Narrow" w:cs="Arial"/>
          <w:sz w:val="16"/>
          <w:szCs w:val="16"/>
          <w:lang w:val="it-IT"/>
        </w:rPr>
        <w:t>provizorii</w:t>
      </w:r>
    </w:p>
    <w:p w:rsidR="008151C8" w:rsidRDefault="008151C8" w:rsidP="00D77618">
      <w:pPr>
        <w:rPr>
          <w:rFonts w:ascii="Arial Narrow" w:hAnsi="Arial Narrow"/>
          <w:sz w:val="16"/>
        </w:rPr>
      </w:pPr>
      <w:r w:rsidRPr="0053011E">
        <w:rPr>
          <w:rFonts w:ascii="Arial Narrow" w:hAnsi="Arial Narrow" w:cs="Arial"/>
          <w:b/>
          <w:sz w:val="16"/>
          <w:szCs w:val="16"/>
        </w:rPr>
        <w:t>Notă:</w:t>
      </w:r>
      <w:r w:rsidRPr="0053011E">
        <w:rPr>
          <w:rFonts w:ascii="Arial Narrow" w:hAnsi="Arial Narrow" w:cs="Arial"/>
          <w:sz w:val="16"/>
          <w:szCs w:val="16"/>
        </w:rPr>
        <w:t xml:space="preserve"> </w:t>
      </w:r>
      <w:r w:rsidRPr="0053011E">
        <w:rPr>
          <w:rFonts w:ascii="Arial Narrow" w:hAnsi="Arial Narrow" w:cs="Arial"/>
          <w:bCs/>
          <w:sz w:val="16"/>
          <w:szCs w:val="16"/>
        </w:rPr>
        <w:t>Sursa datelor</w:t>
      </w:r>
      <w:r w:rsidRPr="0053011E">
        <w:rPr>
          <w:rFonts w:ascii="Arial Narrow" w:hAnsi="Arial Narrow" w:cs="Arial"/>
          <w:sz w:val="16"/>
          <w:szCs w:val="16"/>
        </w:rPr>
        <w:t xml:space="preserve"> o constituie </w:t>
      </w:r>
      <w:r w:rsidRPr="0053011E">
        <w:rPr>
          <w:rFonts w:ascii="Arial Narrow" w:hAnsi="Arial Narrow"/>
          <w:sz w:val="16"/>
          <w:szCs w:val="16"/>
        </w:rPr>
        <w:t xml:space="preserve">capitolul PROD din </w:t>
      </w:r>
      <w:r w:rsidRPr="0053011E">
        <w:rPr>
          <w:rFonts w:ascii="Arial Narrow" w:hAnsi="Arial Narrow" w:cs="Arial"/>
          <w:sz w:val="16"/>
          <w:szCs w:val="16"/>
        </w:rPr>
        <w:t>Cercetarea statistică lunară privind indicatorii pe termen scurt în industrie (IND</w:t>
      </w:r>
      <w:r>
        <w:rPr>
          <w:rFonts w:ascii="Arial Narrow" w:hAnsi="Arial Narrow" w:cs="Arial"/>
          <w:sz w:val="16"/>
          <w:szCs w:val="16"/>
        </w:rPr>
        <w:t xml:space="preserve"> </w:t>
      </w:r>
      <w:r w:rsidRPr="0053011E">
        <w:rPr>
          <w:rFonts w:ascii="Arial Narrow" w:hAnsi="Arial Narrow" w:cs="Arial"/>
          <w:sz w:val="16"/>
          <w:szCs w:val="16"/>
        </w:rPr>
        <w:t xml:space="preserve">TS). </w:t>
      </w:r>
      <w:r w:rsidRPr="0053011E">
        <w:rPr>
          <w:rFonts w:ascii="Arial Narrow" w:hAnsi="Arial Narrow"/>
          <w:sz w:val="16"/>
        </w:rPr>
        <w:t>Indicii producţiei industriale (IPI) caracterizează evoluţia producţiei industriale totale la nivel de judeţ</w:t>
      </w:r>
      <w:r>
        <w:rPr>
          <w:rFonts w:ascii="Arial Narrow" w:hAnsi="Arial Narrow"/>
          <w:sz w:val="16"/>
        </w:rPr>
        <w:t>.</w:t>
      </w:r>
    </w:p>
    <w:p w:rsidR="008151C8" w:rsidRPr="0053011E" w:rsidRDefault="008151C8" w:rsidP="00D77618">
      <w:pPr>
        <w:rPr>
          <w:rFonts w:ascii="Arial Narrow" w:hAnsi="Arial Narrow"/>
          <w:sz w:val="16"/>
        </w:rPr>
      </w:pPr>
    </w:p>
    <w:p w:rsidR="008151C8" w:rsidRPr="00BE274E" w:rsidRDefault="008151C8" w:rsidP="00BE274E">
      <w:pPr>
        <w:spacing w:line="360" w:lineRule="auto"/>
        <w:jc w:val="both"/>
        <w:rPr>
          <w:rFonts w:ascii="Tahoma" w:hAnsi="Tahoma" w:cs="Tahoma"/>
        </w:rPr>
      </w:pPr>
      <w:r w:rsidRPr="00BE274E">
        <w:rPr>
          <w:rFonts w:ascii="Tahoma" w:hAnsi="Tahoma" w:cs="Tahoma"/>
          <w:sz w:val="28"/>
          <w:szCs w:val="28"/>
        </w:rPr>
        <w:tab/>
      </w:r>
      <w:r w:rsidRPr="00BE274E">
        <w:rPr>
          <w:rFonts w:ascii="Tahoma" w:hAnsi="Tahoma" w:cs="Tahoma"/>
        </w:rPr>
        <w:t>Indicele producţiei industriale măsoară evoluţia rezultatelor activităţilor cu caracter industrial de la o perioadă la alta, acesta fiind un indice de volum. Pentru calculul IPI se utilizează date cantitative privind producţia unui număr însemnat de produse, care constituie un eşantion reprezentativ pe principalele grupe industriale.</w:t>
      </w:r>
    </w:p>
    <w:p w:rsidR="008151C8" w:rsidRPr="004240EA" w:rsidRDefault="00D32F29" w:rsidP="00FA7919">
      <w:pPr>
        <w:jc w:val="center"/>
      </w:pPr>
      <w:r>
        <w:rPr>
          <w:noProof/>
          <w:lang w:val="en-US" w:eastAsia="en-US"/>
        </w:rPr>
        <w:lastRenderedPageBreak/>
        <w:drawing>
          <wp:inline distT="0" distB="0" distL="0" distR="0" wp14:anchorId="526BD871" wp14:editId="0E5B54C0">
            <wp:extent cx="5079413" cy="2537064"/>
            <wp:effectExtent l="0" t="0" r="0" b="0"/>
            <wp:docPr id="7" name="Diagramă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51C8" w:rsidRDefault="008151C8" w:rsidP="00CB6073">
      <w:pPr>
        <w:spacing w:line="360" w:lineRule="auto"/>
        <w:ind w:firstLine="708"/>
        <w:jc w:val="both"/>
        <w:rPr>
          <w:rFonts w:ascii="Tahoma" w:hAnsi="Tahoma" w:cs="Tahoma"/>
        </w:rPr>
      </w:pPr>
      <w:r w:rsidRPr="00BE274E">
        <w:rPr>
          <w:rFonts w:ascii="Tahoma" w:hAnsi="Tahoma" w:cs="Tahoma"/>
        </w:rPr>
        <w:t xml:space="preserve">Cifra de afaceri din industrie realizată de agenţii economici din judeţ, atât pe piaţa internă cât </w:t>
      </w:r>
      <w:r>
        <w:rPr>
          <w:rFonts w:ascii="Tahoma" w:hAnsi="Tahoma" w:cs="Tahoma"/>
        </w:rPr>
        <w:t xml:space="preserve">şi pe cea externă, în luna </w:t>
      </w:r>
      <w:r w:rsidR="00DA6F5C">
        <w:rPr>
          <w:rFonts w:ascii="Tahoma" w:hAnsi="Tahoma" w:cs="Tahoma"/>
        </w:rPr>
        <w:t>decembrie</w:t>
      </w:r>
      <w:r w:rsidRPr="00BE274E">
        <w:rPr>
          <w:rFonts w:ascii="Tahoma" w:hAnsi="Tahoma" w:cs="Tahoma"/>
        </w:rPr>
        <w:t xml:space="preserve"> a anul</w:t>
      </w:r>
      <w:r w:rsidR="00D45A89">
        <w:rPr>
          <w:rFonts w:ascii="Tahoma" w:hAnsi="Tahoma" w:cs="Tahoma"/>
        </w:rPr>
        <w:t>ui 2020</w:t>
      </w:r>
      <w:r>
        <w:rPr>
          <w:rFonts w:ascii="Tahoma" w:hAnsi="Tahoma" w:cs="Tahoma"/>
        </w:rPr>
        <w:t xml:space="preserve"> comparativ cu luna </w:t>
      </w:r>
      <w:r w:rsidR="00DA6F5C">
        <w:rPr>
          <w:rFonts w:ascii="Tahoma" w:hAnsi="Tahoma" w:cs="Tahoma"/>
        </w:rPr>
        <w:t>decembrie</w:t>
      </w:r>
      <w:r w:rsidRPr="00BE274E">
        <w:rPr>
          <w:rFonts w:ascii="Tahoma" w:hAnsi="Tahoma" w:cs="Tahoma"/>
        </w:rPr>
        <w:t xml:space="preserve"> a anului precedent a înregistrat </w:t>
      </w:r>
      <w:r w:rsidR="00AC1787">
        <w:rPr>
          <w:rFonts w:ascii="Tahoma" w:hAnsi="Tahoma" w:cs="Tahoma"/>
        </w:rPr>
        <w:t xml:space="preserve">o </w:t>
      </w:r>
      <w:r w:rsidR="00CB227E">
        <w:rPr>
          <w:rFonts w:ascii="Tahoma" w:hAnsi="Tahoma" w:cs="Tahoma"/>
        </w:rPr>
        <w:t>scădere</w:t>
      </w:r>
      <w:r w:rsidR="00CB4E56">
        <w:rPr>
          <w:rFonts w:ascii="Tahoma" w:hAnsi="Tahoma" w:cs="Tahoma"/>
        </w:rPr>
        <w:t xml:space="preserve"> cu </w:t>
      </w:r>
      <w:r w:rsidR="00DA6F5C">
        <w:rPr>
          <w:rFonts w:ascii="Tahoma" w:hAnsi="Tahoma" w:cs="Tahoma"/>
        </w:rPr>
        <w:t>3</w:t>
      </w:r>
      <w:r w:rsidRPr="00BE274E">
        <w:rPr>
          <w:rFonts w:ascii="Tahoma" w:hAnsi="Tahoma" w:cs="Tahoma"/>
        </w:rPr>
        <w:t>,</w:t>
      </w:r>
      <w:r w:rsidR="00DA6F5C">
        <w:rPr>
          <w:rFonts w:ascii="Tahoma" w:hAnsi="Tahoma" w:cs="Tahoma"/>
        </w:rPr>
        <w:t>4</w:t>
      </w:r>
      <w:r w:rsidRPr="00BE274E">
        <w:rPr>
          <w:rFonts w:ascii="Tahoma" w:hAnsi="Tahoma" w:cs="Tahoma"/>
        </w:rPr>
        <w:t>%</w:t>
      </w:r>
      <w:r>
        <w:rPr>
          <w:rFonts w:ascii="Tahoma" w:hAnsi="Tahoma" w:cs="Tahoma"/>
        </w:rPr>
        <w:t>.</w:t>
      </w:r>
    </w:p>
    <w:p w:rsidR="00CB4E56" w:rsidRDefault="006E531D" w:rsidP="00CB6073">
      <w:pPr>
        <w:spacing w:line="360" w:lineRule="auto"/>
        <w:ind w:firstLine="708"/>
        <w:jc w:val="both"/>
        <w:rPr>
          <w:rFonts w:ascii="Tahoma" w:hAnsi="Tahoma" w:cs="Tahoma"/>
        </w:rPr>
      </w:pPr>
      <w:r>
        <w:rPr>
          <w:rFonts w:ascii="Tahoma" w:hAnsi="Tahoma" w:cs="Tahoma"/>
        </w:rPr>
        <w:t xml:space="preserve">În </w:t>
      </w:r>
      <w:r w:rsidR="00FD7394">
        <w:rPr>
          <w:rFonts w:ascii="Tahoma" w:hAnsi="Tahoma" w:cs="Tahoma"/>
        </w:rPr>
        <w:t>perioada 01.01. – 3</w:t>
      </w:r>
      <w:r w:rsidR="00DA6F5C">
        <w:rPr>
          <w:rFonts w:ascii="Tahoma" w:hAnsi="Tahoma" w:cs="Tahoma"/>
        </w:rPr>
        <w:t>1</w:t>
      </w:r>
      <w:r w:rsidR="00FD7394">
        <w:rPr>
          <w:rFonts w:ascii="Tahoma" w:hAnsi="Tahoma" w:cs="Tahoma"/>
        </w:rPr>
        <w:t>.1</w:t>
      </w:r>
      <w:r w:rsidR="00DA6F5C">
        <w:rPr>
          <w:rFonts w:ascii="Tahoma" w:hAnsi="Tahoma" w:cs="Tahoma"/>
        </w:rPr>
        <w:t>2</w:t>
      </w:r>
      <w:r w:rsidR="00CB4E56">
        <w:rPr>
          <w:rFonts w:ascii="Tahoma" w:hAnsi="Tahoma" w:cs="Tahoma"/>
        </w:rPr>
        <w:t xml:space="preserve">.2020 faţă de perioada corespunzătoare a anului precedent,    </w:t>
      </w:r>
      <w:r w:rsidR="00FD7394">
        <w:rPr>
          <w:rFonts w:ascii="Tahoma" w:hAnsi="Tahoma" w:cs="Tahoma"/>
        </w:rPr>
        <w:t xml:space="preserve"> s-a înregistrat o scădere cu 2,</w:t>
      </w:r>
      <w:r w:rsidR="00DA6F5C">
        <w:rPr>
          <w:rFonts w:ascii="Tahoma" w:hAnsi="Tahoma" w:cs="Tahoma"/>
        </w:rPr>
        <w:t>9</w:t>
      </w:r>
      <w:r w:rsidR="00CB4E56">
        <w:rPr>
          <w:rFonts w:ascii="Tahoma" w:hAnsi="Tahoma" w:cs="Tahoma"/>
        </w:rPr>
        <w:t xml:space="preserve"> %.</w:t>
      </w:r>
    </w:p>
    <w:p w:rsidR="008151C8" w:rsidRDefault="008151C8" w:rsidP="00BB1F1D"/>
    <w:p w:rsidR="00D45A89" w:rsidRDefault="00D45A89" w:rsidP="00BB1F1D"/>
    <w:p w:rsidR="00D45A89" w:rsidRDefault="00D45A89" w:rsidP="00BB1F1D"/>
    <w:p w:rsidR="008151C8" w:rsidRPr="00A469A4" w:rsidRDefault="008151C8" w:rsidP="00D91447">
      <w:pPr>
        <w:pStyle w:val="BodyText"/>
        <w:jc w:val="center"/>
        <w:rPr>
          <w:rFonts w:ascii="Tahoma" w:hAnsi="Tahoma" w:cs="Tahoma"/>
        </w:rPr>
      </w:pPr>
      <w:r w:rsidRPr="00A469A4">
        <w:rPr>
          <w:rFonts w:ascii="Tahoma" w:hAnsi="Tahoma" w:cs="Tahoma"/>
        </w:rPr>
        <w:t>INDICII VALORICI AI CIFREI DE AFACERI DIN INDUSTRIE PE TOTAL</w:t>
      </w:r>
    </w:p>
    <w:p w:rsidR="008151C8" w:rsidRDefault="008151C8" w:rsidP="00D91447">
      <w:pPr>
        <w:pStyle w:val="BodyText"/>
        <w:jc w:val="center"/>
        <w:rPr>
          <w:rFonts w:ascii="Tahoma" w:hAnsi="Tahoma" w:cs="Tahoma"/>
        </w:rPr>
      </w:pPr>
      <w:r w:rsidRPr="008638D4">
        <w:rPr>
          <w:rFonts w:ascii="Tahoma" w:hAnsi="Tahoma" w:cs="Tahoma"/>
        </w:rPr>
        <w:t>(PIAŢA INTERNĂ ŞI PIAŢA EXTERNĂ)</w:t>
      </w:r>
    </w:p>
    <w:p w:rsidR="008151C8" w:rsidRDefault="008151C8" w:rsidP="00D91447">
      <w:pPr>
        <w:pStyle w:val="BodyText"/>
        <w:jc w:val="center"/>
        <w:rPr>
          <w:rFonts w:ascii="Tahoma" w:hAnsi="Tahoma" w:cs="Tahoma"/>
        </w:rPr>
      </w:pPr>
    </w:p>
    <w:p w:rsidR="008151C8" w:rsidRPr="00CE523B" w:rsidRDefault="008151C8" w:rsidP="00CE523B">
      <w:pPr>
        <w:pStyle w:val="BodyText"/>
        <w:jc w:val="right"/>
        <w:rPr>
          <w:rFonts w:ascii="Tahoma" w:hAnsi="Tahoma" w:cs="Tahoma"/>
          <w:b/>
        </w:rPr>
      </w:pPr>
      <w:r w:rsidRPr="00CE523B">
        <w:rPr>
          <w:rFonts w:ascii="Tahoma" w:hAnsi="Tahoma" w:cs="Tahoma"/>
          <w:sz w:val="12"/>
          <w:szCs w:val="12"/>
        </w:rPr>
        <w:t>(%)</w:t>
      </w:r>
    </w:p>
    <w:p w:rsidR="008151C8" w:rsidRPr="003F2D28" w:rsidRDefault="00D32F29" w:rsidP="00EB3832">
      <w:pPr>
        <w:rPr>
          <w:rFonts w:ascii="Arial Narrow" w:hAnsi="Arial Narrow"/>
          <w:sz w:val="16"/>
        </w:rPr>
      </w:pPr>
      <w:r w:rsidRPr="00D32F29">
        <w:rPr>
          <w:noProof/>
          <w:lang w:val="en-US" w:eastAsia="en-US"/>
        </w:rPr>
        <w:drawing>
          <wp:inline distT="0" distB="0" distL="0" distR="0">
            <wp:extent cx="6480175" cy="624879"/>
            <wp:effectExtent l="0" t="0" r="0" b="381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175" cy="624879"/>
                    </a:xfrm>
                    <a:prstGeom prst="rect">
                      <a:avLst/>
                    </a:prstGeom>
                    <a:noFill/>
                    <a:ln>
                      <a:noFill/>
                    </a:ln>
                  </pic:spPr>
                </pic:pic>
              </a:graphicData>
            </a:graphic>
          </wp:inline>
        </w:drawing>
      </w:r>
    </w:p>
    <w:p w:rsidR="008151C8" w:rsidRPr="003F2D28" w:rsidRDefault="008151C8" w:rsidP="006A2EE0">
      <w:pPr>
        <w:rPr>
          <w:rFonts w:ascii="Arial Narrow" w:hAnsi="Arial Narrow" w:cs="Arial"/>
          <w:b/>
          <w:bCs/>
          <w:sz w:val="16"/>
          <w:szCs w:val="16"/>
          <w:lang w:val="it-IT"/>
        </w:rPr>
      </w:pPr>
      <w:r>
        <w:rPr>
          <w:rFonts w:ascii="Arial Narrow" w:hAnsi="Arial Narrow" w:cs="Arial"/>
          <w:b/>
          <w:bCs/>
          <w:sz w:val="16"/>
          <w:szCs w:val="16"/>
          <w:vertAlign w:val="superscript"/>
        </w:rPr>
        <w:t xml:space="preserve">1) </w:t>
      </w:r>
      <w:r w:rsidR="00442ECE">
        <w:rPr>
          <w:rFonts w:ascii="Arial Narrow" w:hAnsi="Arial Narrow" w:cs="Arial"/>
          <w:sz w:val="16"/>
          <w:szCs w:val="16"/>
          <w:lang w:val="it-IT"/>
        </w:rPr>
        <w:t>Date provizorii</w:t>
      </w:r>
    </w:p>
    <w:p w:rsidR="008151C8" w:rsidRDefault="008151C8" w:rsidP="00D77618">
      <w:pPr>
        <w:keepNext/>
        <w:jc w:val="both"/>
        <w:outlineLvl w:val="1"/>
        <w:rPr>
          <w:rFonts w:ascii="Arial Narrow" w:hAnsi="Arial Narrow" w:cs="Arial"/>
          <w:bCs/>
          <w:sz w:val="16"/>
          <w:szCs w:val="16"/>
          <w:lang w:eastAsia="en-US"/>
        </w:rPr>
      </w:pPr>
      <w:r w:rsidRPr="00D77618">
        <w:rPr>
          <w:rFonts w:ascii="Arial Narrow" w:hAnsi="Arial Narrow" w:cs="Arial"/>
          <w:b/>
          <w:bCs/>
          <w:sz w:val="16"/>
          <w:szCs w:val="20"/>
          <w:lang w:eastAsia="en-US"/>
        </w:rPr>
        <w:t xml:space="preserve">Notă: </w:t>
      </w:r>
      <w:r w:rsidRPr="00D77618">
        <w:rPr>
          <w:rFonts w:ascii="Arial Narrow" w:hAnsi="Arial Narrow" w:cs="Arial"/>
          <w:bCs/>
          <w:sz w:val="16"/>
          <w:szCs w:val="16"/>
          <w:lang w:eastAsia="en-US"/>
        </w:rPr>
        <w:t>Sursa datelor o constituie capitolul CA din Cercetarea statistică lunară privind indicatorii pe termen scurt în industrie (IND TS). Indicele valoric al  cifrei de afaceri din industrie este calculat pe baza unei cercetări statistice selective care cuprinde toate întreprinderile cu peste 50 de salariaţi şi un eşantion de întreprinderi cu 4-49 salariaţi.</w:t>
      </w:r>
      <w:r w:rsidRPr="00D77618">
        <w:rPr>
          <w:rFonts w:ascii="Arial Narrow" w:hAnsi="Arial Narrow" w:cs="Arial"/>
          <w:bCs/>
          <w:sz w:val="22"/>
          <w:szCs w:val="22"/>
          <w:lang w:eastAsia="en-US"/>
        </w:rPr>
        <w:t xml:space="preserve"> </w:t>
      </w:r>
      <w:r w:rsidRPr="00D77618">
        <w:rPr>
          <w:rFonts w:ascii="Arial Narrow" w:hAnsi="Arial Narrow" w:cs="Arial"/>
          <w:bCs/>
          <w:sz w:val="16"/>
          <w:szCs w:val="16"/>
          <w:lang w:eastAsia="en-US"/>
        </w:rPr>
        <w:t>Conform recomandărilor europene indicii valorici ai cifrei de afaceri din industrie sunt calculaţi ca indici nedeflataţi. Raportarea cifrei de afaceri pe judeţe se face după sediul central al întreprinderii furnizoare de date.</w:t>
      </w:r>
    </w:p>
    <w:p w:rsidR="008151C8" w:rsidRPr="00D77618" w:rsidRDefault="008151C8" w:rsidP="00D77618">
      <w:pPr>
        <w:keepNext/>
        <w:jc w:val="both"/>
        <w:outlineLvl w:val="1"/>
        <w:rPr>
          <w:rFonts w:ascii="Arial Narrow" w:hAnsi="Arial Narrow" w:cs="Arial"/>
          <w:bCs/>
          <w:sz w:val="16"/>
          <w:szCs w:val="16"/>
          <w:lang w:eastAsia="en-US"/>
        </w:rPr>
      </w:pPr>
    </w:p>
    <w:p w:rsidR="008151C8" w:rsidRDefault="008151C8" w:rsidP="00EB69F2"/>
    <w:p w:rsidR="008151C8" w:rsidRDefault="008151C8" w:rsidP="00BE274E">
      <w:pPr>
        <w:spacing w:line="360" w:lineRule="auto"/>
        <w:jc w:val="both"/>
        <w:rPr>
          <w:rFonts w:ascii="Tahoma" w:hAnsi="Tahoma" w:cs="Tahoma"/>
        </w:rPr>
      </w:pPr>
      <w:r w:rsidRPr="00BE274E">
        <w:rPr>
          <w:rFonts w:ascii="Tahoma" w:hAnsi="Tahoma" w:cs="Tahoma"/>
          <w:sz w:val="28"/>
          <w:szCs w:val="28"/>
        </w:rPr>
        <w:tab/>
      </w:r>
      <w:r w:rsidRPr="00BE274E">
        <w:rPr>
          <w:rFonts w:ascii="Tahoma" w:hAnsi="Tahoma" w:cs="Tahoma"/>
        </w:rPr>
        <w:t xml:space="preserve">Indicii valorici ai cifrei de afaceri din industrie caracterizează evoluţia veniturilor totale, înregistrate în perioada respectivă, provenite atât din activităţile principale, cât şi din activităţile secundare ale întreprinderilor din eşantion. </w:t>
      </w:r>
    </w:p>
    <w:p w:rsidR="008151C8" w:rsidRDefault="008151C8" w:rsidP="008A74AD">
      <w:pPr>
        <w:spacing w:line="360" w:lineRule="auto"/>
        <w:ind w:firstLine="708"/>
        <w:jc w:val="both"/>
        <w:rPr>
          <w:rFonts w:ascii="Tahoma" w:hAnsi="Tahoma" w:cs="Tahoma"/>
        </w:rPr>
      </w:pPr>
      <w:r w:rsidRPr="00BE274E">
        <w:rPr>
          <w:rFonts w:ascii="Tahoma" w:hAnsi="Tahoma" w:cs="Tahoma"/>
        </w:rPr>
        <w:t>Cifra de afaceri nu include TVA şi veniturile din vânzarea sau transferul de mijloace fixe. Raportarea cifrei de afaceri pe judeţe se face după sediul central al întreprinderilor furnizoare de date.</w:t>
      </w:r>
    </w:p>
    <w:p w:rsidR="008151C8" w:rsidRDefault="008151C8" w:rsidP="008A74AD">
      <w:pPr>
        <w:spacing w:line="360" w:lineRule="auto"/>
        <w:ind w:firstLine="708"/>
        <w:jc w:val="both"/>
        <w:rPr>
          <w:rFonts w:ascii="Tahoma" w:hAnsi="Tahoma" w:cs="Tahoma"/>
        </w:rPr>
      </w:pPr>
    </w:p>
    <w:p w:rsidR="008151C8" w:rsidRPr="004240EA" w:rsidRDefault="00D32F29" w:rsidP="00727EA3">
      <w:pPr>
        <w:spacing w:line="360" w:lineRule="auto"/>
        <w:jc w:val="center"/>
      </w:pPr>
      <w:r>
        <w:rPr>
          <w:noProof/>
          <w:lang w:val="en-US" w:eastAsia="en-US"/>
        </w:rPr>
        <w:lastRenderedPageBreak/>
        <w:drawing>
          <wp:inline distT="0" distB="0" distL="0" distR="0" wp14:anchorId="6189FBE2" wp14:editId="05910823">
            <wp:extent cx="5667375" cy="3095625"/>
            <wp:effectExtent l="0" t="0" r="0" b="0"/>
            <wp:docPr id="8" name="Diagramă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51C8" w:rsidRDefault="008151C8" w:rsidP="00746FCA">
      <w:pPr>
        <w:spacing w:line="360" w:lineRule="auto"/>
        <w:rPr>
          <w:rFonts w:ascii="Tahoma" w:hAnsi="Tahoma" w:cs="Tahoma"/>
          <w:b/>
          <w:sz w:val="28"/>
          <w:szCs w:val="28"/>
        </w:rPr>
      </w:pPr>
      <w:r w:rsidRPr="00BE274E">
        <w:rPr>
          <w:rFonts w:ascii="Tahoma" w:hAnsi="Tahoma" w:cs="Tahoma"/>
          <w:b/>
          <w:sz w:val="28"/>
          <w:szCs w:val="28"/>
        </w:rPr>
        <w:tab/>
      </w:r>
    </w:p>
    <w:p w:rsidR="002E0BBA" w:rsidRDefault="002E0BBA" w:rsidP="00345CCB">
      <w:pPr>
        <w:spacing w:line="360" w:lineRule="auto"/>
        <w:ind w:firstLine="708"/>
        <w:rPr>
          <w:rFonts w:ascii="Tahoma" w:hAnsi="Tahoma" w:cs="Tahoma"/>
          <w:b/>
        </w:rPr>
      </w:pPr>
    </w:p>
    <w:p w:rsidR="008151C8" w:rsidRPr="00BE274E" w:rsidRDefault="008151C8" w:rsidP="00345CCB">
      <w:pPr>
        <w:spacing w:line="360" w:lineRule="auto"/>
        <w:ind w:firstLine="708"/>
        <w:rPr>
          <w:rFonts w:ascii="Tahoma" w:hAnsi="Tahoma" w:cs="Tahoma"/>
          <w:b/>
        </w:rPr>
      </w:pPr>
      <w:r w:rsidRPr="00BE274E">
        <w:rPr>
          <w:rFonts w:ascii="Tahoma" w:hAnsi="Tahoma" w:cs="Tahoma"/>
          <w:b/>
        </w:rPr>
        <w:t xml:space="preserve">2. </w:t>
      </w:r>
      <w:r w:rsidRPr="00BE274E">
        <w:rPr>
          <w:rFonts w:ascii="Tahoma" w:hAnsi="Tahoma" w:cs="Tahoma"/>
          <w:b/>
          <w:u w:val="single"/>
        </w:rPr>
        <w:t>COMERŢ EXTERIOR</w:t>
      </w:r>
    </w:p>
    <w:p w:rsidR="008151C8" w:rsidRPr="00BE274E" w:rsidRDefault="008151C8" w:rsidP="00BE274E">
      <w:pPr>
        <w:spacing w:line="360" w:lineRule="auto"/>
        <w:jc w:val="both"/>
        <w:rPr>
          <w:rFonts w:ascii="Tahoma" w:hAnsi="Tahoma" w:cs="Tahoma"/>
          <w:sz w:val="28"/>
          <w:szCs w:val="28"/>
        </w:rPr>
      </w:pPr>
      <w:r w:rsidRPr="00BE274E">
        <w:rPr>
          <w:rFonts w:ascii="Tahoma" w:hAnsi="Tahoma" w:cs="Tahoma"/>
        </w:rPr>
        <w:tab/>
        <w:t xml:space="preserve">Comerţul exterior realizat de agenţii economici din judeţ s-a concretizat în </w:t>
      </w:r>
      <w:r w:rsidR="00AC1787">
        <w:rPr>
          <w:rFonts w:ascii="Tahoma" w:hAnsi="Tahoma" w:cs="Tahoma"/>
        </w:rPr>
        <w:t>p</w:t>
      </w:r>
      <w:r w:rsidR="0073575A">
        <w:rPr>
          <w:rFonts w:ascii="Tahoma" w:hAnsi="Tahoma" w:cs="Tahoma"/>
        </w:rPr>
        <w:t>e</w:t>
      </w:r>
      <w:r w:rsidR="00FD7394">
        <w:rPr>
          <w:rFonts w:ascii="Tahoma" w:hAnsi="Tahoma" w:cs="Tahoma"/>
        </w:rPr>
        <w:t>rioada 01.01. – 3</w:t>
      </w:r>
      <w:r w:rsidR="00DA6F5C">
        <w:rPr>
          <w:rFonts w:ascii="Tahoma" w:hAnsi="Tahoma" w:cs="Tahoma"/>
        </w:rPr>
        <w:t>1</w:t>
      </w:r>
      <w:r w:rsidR="00FD7394">
        <w:rPr>
          <w:rFonts w:ascii="Tahoma" w:hAnsi="Tahoma" w:cs="Tahoma"/>
        </w:rPr>
        <w:t>.</w:t>
      </w:r>
      <w:r w:rsidR="00DA6F5C">
        <w:rPr>
          <w:rFonts w:ascii="Tahoma" w:hAnsi="Tahoma" w:cs="Tahoma"/>
        </w:rPr>
        <w:t>10</w:t>
      </w:r>
      <w:r w:rsidR="00AC1787">
        <w:rPr>
          <w:rFonts w:ascii="Tahoma" w:hAnsi="Tahoma" w:cs="Tahoma"/>
        </w:rPr>
        <w:t xml:space="preserve">.2020 </w:t>
      </w:r>
      <w:r>
        <w:rPr>
          <w:rFonts w:ascii="Tahoma" w:hAnsi="Tahoma" w:cs="Tahoma"/>
        </w:rPr>
        <w:t>î</w:t>
      </w:r>
      <w:r w:rsidR="001E6F11">
        <w:rPr>
          <w:rFonts w:ascii="Tahoma" w:hAnsi="Tahoma" w:cs="Tahoma"/>
        </w:rPr>
        <w:t xml:space="preserve">n exporturi în valoare de </w:t>
      </w:r>
      <w:r w:rsidR="00DA6F5C">
        <w:rPr>
          <w:rFonts w:ascii="Tahoma" w:hAnsi="Tahoma" w:cs="Tahoma"/>
        </w:rPr>
        <w:t>512131</w:t>
      </w:r>
      <w:r w:rsidR="007A5F69">
        <w:rPr>
          <w:rFonts w:ascii="Tahoma" w:hAnsi="Tahoma" w:cs="Tahoma"/>
        </w:rPr>
        <w:t xml:space="preserve"> mii euro şi importuri de </w:t>
      </w:r>
      <w:r w:rsidR="00DA6F5C">
        <w:rPr>
          <w:rFonts w:ascii="Tahoma" w:hAnsi="Tahoma" w:cs="Tahoma"/>
        </w:rPr>
        <w:t>427285</w:t>
      </w:r>
      <w:r w:rsidRPr="00BE274E">
        <w:rPr>
          <w:rFonts w:ascii="Tahoma" w:hAnsi="Tahoma" w:cs="Tahoma"/>
        </w:rPr>
        <w:t xml:space="preserve"> mii euro, înregistrându-se un sold pozitiv al balanţei comerţului exterior de </w:t>
      </w:r>
      <w:r w:rsidR="00D45A89">
        <w:rPr>
          <w:rFonts w:ascii="Tahoma" w:hAnsi="Tahoma" w:cs="Tahoma"/>
        </w:rPr>
        <w:t xml:space="preserve">+ </w:t>
      </w:r>
      <w:r w:rsidR="00DA6F5C">
        <w:rPr>
          <w:rFonts w:ascii="Tahoma" w:hAnsi="Tahoma" w:cs="Tahoma"/>
        </w:rPr>
        <w:t>84846</w:t>
      </w:r>
      <w:r w:rsidRPr="00BE274E">
        <w:rPr>
          <w:rFonts w:ascii="Tahoma" w:hAnsi="Tahoma" w:cs="Tahoma"/>
        </w:rPr>
        <w:t xml:space="preserve"> mii euro. Comparativ cu</w:t>
      </w:r>
      <w:r w:rsidR="00CB4E56">
        <w:rPr>
          <w:rFonts w:ascii="Tahoma" w:hAnsi="Tahoma" w:cs="Tahoma"/>
        </w:rPr>
        <w:t xml:space="preserve"> </w:t>
      </w:r>
      <w:r w:rsidR="00FD7394">
        <w:rPr>
          <w:rFonts w:ascii="Tahoma" w:hAnsi="Tahoma" w:cs="Tahoma"/>
        </w:rPr>
        <w:t>perioada 01.01. – 3</w:t>
      </w:r>
      <w:r w:rsidR="00DA6F5C">
        <w:rPr>
          <w:rFonts w:ascii="Tahoma" w:hAnsi="Tahoma" w:cs="Tahoma"/>
        </w:rPr>
        <w:t>1</w:t>
      </w:r>
      <w:r w:rsidR="00FD7394">
        <w:rPr>
          <w:rFonts w:ascii="Tahoma" w:hAnsi="Tahoma" w:cs="Tahoma"/>
        </w:rPr>
        <w:t>.</w:t>
      </w:r>
      <w:r w:rsidR="00DA6F5C">
        <w:rPr>
          <w:rFonts w:ascii="Tahoma" w:hAnsi="Tahoma" w:cs="Tahoma"/>
        </w:rPr>
        <w:t>10</w:t>
      </w:r>
      <w:r w:rsidR="00AC1787">
        <w:rPr>
          <w:rFonts w:ascii="Tahoma" w:hAnsi="Tahoma" w:cs="Tahoma"/>
        </w:rPr>
        <w:t>.</w:t>
      </w:r>
      <w:r w:rsidR="0073575A">
        <w:rPr>
          <w:rFonts w:ascii="Tahoma" w:hAnsi="Tahoma" w:cs="Tahoma"/>
        </w:rPr>
        <w:t>2019</w:t>
      </w:r>
      <w:r w:rsidRPr="00BE274E">
        <w:rPr>
          <w:rFonts w:ascii="Tahoma" w:hAnsi="Tahoma" w:cs="Tahoma"/>
        </w:rPr>
        <w:t>, valoarea măr</w:t>
      </w:r>
      <w:r w:rsidR="00FD7394">
        <w:rPr>
          <w:rFonts w:ascii="Tahoma" w:hAnsi="Tahoma" w:cs="Tahoma"/>
        </w:rPr>
        <w:t>furilor exportate a scăzut cu 14</w:t>
      </w:r>
      <w:r w:rsidRPr="00BE274E">
        <w:rPr>
          <w:rFonts w:ascii="Tahoma" w:hAnsi="Tahoma" w:cs="Tahoma"/>
        </w:rPr>
        <w:t>,</w:t>
      </w:r>
      <w:r w:rsidR="00DA6F5C">
        <w:rPr>
          <w:rFonts w:ascii="Tahoma" w:hAnsi="Tahoma" w:cs="Tahoma"/>
        </w:rPr>
        <w:t>0</w:t>
      </w:r>
      <w:r w:rsidR="00177D3C">
        <w:rPr>
          <w:rFonts w:ascii="Tahoma" w:hAnsi="Tahoma" w:cs="Tahoma"/>
        </w:rPr>
        <w:t>%</w:t>
      </w:r>
      <w:r w:rsidR="00FD7394">
        <w:rPr>
          <w:rFonts w:ascii="Tahoma" w:hAnsi="Tahoma" w:cs="Tahoma"/>
        </w:rPr>
        <w:t xml:space="preserve"> (- </w:t>
      </w:r>
      <w:r w:rsidR="00DA6F5C">
        <w:rPr>
          <w:rFonts w:ascii="Tahoma" w:hAnsi="Tahoma" w:cs="Tahoma"/>
        </w:rPr>
        <w:t>83583</w:t>
      </w:r>
      <w:r w:rsidRPr="00BE274E">
        <w:rPr>
          <w:rFonts w:ascii="Tahoma" w:hAnsi="Tahoma" w:cs="Tahoma"/>
        </w:rPr>
        <w:t xml:space="preserve"> mii euro), </w:t>
      </w:r>
      <w:r w:rsidR="00CB4E56">
        <w:rPr>
          <w:rFonts w:ascii="Tahoma" w:hAnsi="Tahoma" w:cs="Tahoma"/>
        </w:rPr>
        <w:t xml:space="preserve">iar a celor importate </w:t>
      </w:r>
      <w:r w:rsidR="0073575A">
        <w:rPr>
          <w:rFonts w:ascii="Tahoma" w:hAnsi="Tahoma" w:cs="Tahoma"/>
        </w:rPr>
        <w:t xml:space="preserve">a crescut </w:t>
      </w:r>
      <w:r w:rsidR="006E531D">
        <w:rPr>
          <w:rFonts w:ascii="Tahoma" w:hAnsi="Tahoma" w:cs="Tahoma"/>
        </w:rPr>
        <w:t xml:space="preserve">cu </w:t>
      </w:r>
      <w:r w:rsidR="00FD7394">
        <w:rPr>
          <w:rFonts w:ascii="Tahoma" w:hAnsi="Tahoma" w:cs="Tahoma"/>
        </w:rPr>
        <w:t>6</w:t>
      </w:r>
      <w:r>
        <w:rPr>
          <w:rFonts w:ascii="Tahoma" w:hAnsi="Tahoma" w:cs="Tahoma"/>
        </w:rPr>
        <w:t>,</w:t>
      </w:r>
      <w:r w:rsidR="00DA6F5C">
        <w:rPr>
          <w:rFonts w:ascii="Tahoma" w:hAnsi="Tahoma" w:cs="Tahoma"/>
        </w:rPr>
        <w:t>6</w:t>
      </w:r>
      <w:r w:rsidR="00AC1787">
        <w:rPr>
          <w:rFonts w:ascii="Tahoma" w:hAnsi="Tahoma" w:cs="Tahoma"/>
        </w:rPr>
        <w:t xml:space="preserve"> % (+</w:t>
      </w:r>
      <w:r w:rsidR="00FD7394">
        <w:rPr>
          <w:rFonts w:ascii="Tahoma" w:hAnsi="Tahoma" w:cs="Tahoma"/>
        </w:rPr>
        <w:t xml:space="preserve"> 2</w:t>
      </w:r>
      <w:r w:rsidR="00DA6F5C">
        <w:rPr>
          <w:rFonts w:ascii="Tahoma" w:hAnsi="Tahoma" w:cs="Tahoma"/>
        </w:rPr>
        <w:t>6265</w:t>
      </w:r>
      <w:r w:rsidRPr="00BE274E">
        <w:rPr>
          <w:rFonts w:ascii="Tahoma" w:hAnsi="Tahoma" w:cs="Tahoma"/>
        </w:rPr>
        <w:t xml:space="preserve"> mii euro).</w:t>
      </w:r>
    </w:p>
    <w:p w:rsidR="008151C8" w:rsidRPr="004240EA" w:rsidRDefault="00D32F29" w:rsidP="00727EA3">
      <w:pPr>
        <w:jc w:val="center"/>
      </w:pPr>
      <w:r>
        <w:rPr>
          <w:noProof/>
          <w:lang w:val="en-US" w:eastAsia="en-US"/>
        </w:rPr>
        <w:drawing>
          <wp:inline distT="0" distB="0" distL="0" distR="0" wp14:anchorId="53269D03" wp14:editId="0B6266DE">
            <wp:extent cx="5981701" cy="4152901"/>
            <wp:effectExtent l="0" t="0" r="0" b="0"/>
            <wp:docPr id="9" name="Diagramă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51C8" w:rsidRDefault="008151C8" w:rsidP="00F37481">
      <w:pPr>
        <w:spacing w:line="360" w:lineRule="auto"/>
        <w:jc w:val="both"/>
        <w:rPr>
          <w:rFonts w:ascii="Tahoma" w:hAnsi="Tahoma" w:cs="Tahoma"/>
        </w:rPr>
      </w:pPr>
      <w:r>
        <w:lastRenderedPageBreak/>
        <w:tab/>
      </w:r>
      <w:r w:rsidR="00CB4E56">
        <w:rPr>
          <w:rFonts w:ascii="Tahoma" w:hAnsi="Tahoma" w:cs="Tahoma"/>
        </w:rPr>
        <w:t xml:space="preserve">În </w:t>
      </w:r>
      <w:r w:rsidR="00FD7394">
        <w:rPr>
          <w:rFonts w:ascii="Tahoma" w:hAnsi="Tahoma" w:cs="Tahoma"/>
        </w:rPr>
        <w:t>perioada 01.01. – 3</w:t>
      </w:r>
      <w:r w:rsidR="00DA6F5C">
        <w:rPr>
          <w:rFonts w:ascii="Tahoma" w:hAnsi="Tahoma" w:cs="Tahoma"/>
        </w:rPr>
        <w:t>1</w:t>
      </w:r>
      <w:r w:rsidR="00FD7394">
        <w:rPr>
          <w:rFonts w:ascii="Tahoma" w:hAnsi="Tahoma" w:cs="Tahoma"/>
        </w:rPr>
        <w:t>.</w:t>
      </w:r>
      <w:r w:rsidR="00DA6F5C">
        <w:rPr>
          <w:rFonts w:ascii="Tahoma" w:hAnsi="Tahoma" w:cs="Tahoma"/>
        </w:rPr>
        <w:t>10</w:t>
      </w:r>
      <w:r w:rsidR="00AC1787">
        <w:rPr>
          <w:rFonts w:ascii="Tahoma" w:hAnsi="Tahoma" w:cs="Tahoma"/>
        </w:rPr>
        <w:t>.2020</w:t>
      </w:r>
      <w:r w:rsidRPr="00BE274E">
        <w:rPr>
          <w:rFonts w:ascii="Tahoma" w:hAnsi="Tahoma" w:cs="Tahoma"/>
        </w:rPr>
        <w:t xml:space="preserve">, ponderi însemnate în structura </w:t>
      </w:r>
      <w:r w:rsidRPr="00C834C5">
        <w:rPr>
          <w:rFonts w:ascii="Tahoma" w:hAnsi="Tahoma" w:cs="Tahoma"/>
          <w:b/>
          <w:i/>
        </w:rPr>
        <w:t>exporturilor</w:t>
      </w:r>
      <w:r w:rsidRPr="00BE274E">
        <w:rPr>
          <w:rFonts w:ascii="Tahoma" w:hAnsi="Tahoma" w:cs="Tahoma"/>
        </w:rPr>
        <w:t xml:space="preserve"> (conform clasificării din Nomenclatorul Combinat) s-au înregistrat la: </w:t>
      </w:r>
    </w:p>
    <w:p w:rsidR="00D45A89" w:rsidRDefault="00D45A89" w:rsidP="00D45A89">
      <w:pPr>
        <w:numPr>
          <w:ilvl w:val="0"/>
          <w:numId w:val="5"/>
        </w:numPr>
        <w:spacing w:line="360" w:lineRule="auto"/>
        <w:jc w:val="both"/>
        <w:rPr>
          <w:rFonts w:ascii="Tahoma" w:hAnsi="Tahoma" w:cs="Tahoma"/>
        </w:rPr>
      </w:pPr>
      <w:r w:rsidRPr="00BE274E">
        <w:rPr>
          <w:rFonts w:ascii="Tahoma" w:hAnsi="Tahoma" w:cs="Tahoma"/>
        </w:rPr>
        <w:t>materii textil</w:t>
      </w:r>
      <w:r w:rsidR="00FD7394">
        <w:rPr>
          <w:rFonts w:ascii="Tahoma" w:hAnsi="Tahoma" w:cs="Tahoma"/>
        </w:rPr>
        <w:t>e şi articole din acestea (22,</w:t>
      </w:r>
      <w:r w:rsidR="00DA6F5C">
        <w:rPr>
          <w:rFonts w:ascii="Tahoma" w:hAnsi="Tahoma" w:cs="Tahoma"/>
        </w:rPr>
        <w:t>4</w:t>
      </w:r>
      <w:r w:rsidR="00FD7394">
        <w:rPr>
          <w:rFonts w:ascii="Tahoma" w:hAnsi="Tahoma" w:cs="Tahoma"/>
        </w:rPr>
        <w:t>%, respectiv 1</w:t>
      </w:r>
      <w:r w:rsidR="00DA6F5C">
        <w:rPr>
          <w:rFonts w:ascii="Tahoma" w:hAnsi="Tahoma" w:cs="Tahoma"/>
        </w:rPr>
        <w:t>14736</w:t>
      </w:r>
      <w:r w:rsidRPr="00BE274E">
        <w:rPr>
          <w:rFonts w:ascii="Tahoma" w:hAnsi="Tahoma" w:cs="Tahoma"/>
        </w:rPr>
        <w:t xml:space="preserve"> mii euro);</w:t>
      </w:r>
      <w:r>
        <w:rPr>
          <w:rFonts w:ascii="Tahoma" w:hAnsi="Tahoma" w:cs="Tahoma"/>
        </w:rPr>
        <w:t xml:space="preserve"> </w:t>
      </w:r>
    </w:p>
    <w:p w:rsidR="00446244" w:rsidRDefault="00446244" w:rsidP="00446244">
      <w:pPr>
        <w:numPr>
          <w:ilvl w:val="0"/>
          <w:numId w:val="5"/>
        </w:numPr>
        <w:spacing w:line="360" w:lineRule="auto"/>
        <w:jc w:val="both"/>
        <w:rPr>
          <w:rFonts w:ascii="Tahoma" w:hAnsi="Tahoma" w:cs="Tahoma"/>
        </w:rPr>
      </w:pPr>
      <w:r w:rsidRPr="00BE274E">
        <w:rPr>
          <w:rFonts w:ascii="Tahoma" w:hAnsi="Tahoma" w:cs="Tahoma"/>
        </w:rPr>
        <w:t>metale comun</w:t>
      </w:r>
      <w:r w:rsidR="00CB4E56">
        <w:rPr>
          <w:rFonts w:ascii="Tahoma" w:hAnsi="Tahoma" w:cs="Tahoma"/>
        </w:rPr>
        <w:t xml:space="preserve">e şi </w:t>
      </w:r>
      <w:r w:rsidR="0073575A">
        <w:rPr>
          <w:rFonts w:ascii="Tahoma" w:hAnsi="Tahoma" w:cs="Tahoma"/>
        </w:rPr>
        <w:t>articole din aceste</w:t>
      </w:r>
      <w:r w:rsidR="00FD7394">
        <w:rPr>
          <w:rFonts w:ascii="Tahoma" w:hAnsi="Tahoma" w:cs="Tahoma"/>
        </w:rPr>
        <w:t>a (22,</w:t>
      </w:r>
      <w:r w:rsidR="00DA6F5C">
        <w:rPr>
          <w:rFonts w:ascii="Tahoma" w:hAnsi="Tahoma" w:cs="Tahoma"/>
        </w:rPr>
        <w:t>2</w:t>
      </w:r>
      <w:r w:rsidR="00FD7394">
        <w:rPr>
          <w:rFonts w:ascii="Tahoma" w:hAnsi="Tahoma" w:cs="Tahoma"/>
        </w:rPr>
        <w:t xml:space="preserve">%, respectiv </w:t>
      </w:r>
      <w:r w:rsidR="00DA6F5C">
        <w:rPr>
          <w:rFonts w:ascii="Tahoma" w:hAnsi="Tahoma" w:cs="Tahoma"/>
        </w:rPr>
        <w:t>113840</w:t>
      </w:r>
      <w:r w:rsidRPr="00BE274E">
        <w:rPr>
          <w:rFonts w:ascii="Tahoma" w:hAnsi="Tahoma" w:cs="Tahoma"/>
        </w:rPr>
        <w:t xml:space="preserve"> mii euro)</w:t>
      </w:r>
      <w:r>
        <w:rPr>
          <w:rFonts w:ascii="Tahoma" w:hAnsi="Tahoma" w:cs="Tahoma"/>
        </w:rPr>
        <w:t>;</w:t>
      </w:r>
    </w:p>
    <w:p w:rsidR="00795EA7" w:rsidRDefault="00795EA7" w:rsidP="00795EA7">
      <w:pPr>
        <w:numPr>
          <w:ilvl w:val="0"/>
          <w:numId w:val="5"/>
        </w:numPr>
        <w:spacing w:line="360" w:lineRule="auto"/>
        <w:jc w:val="both"/>
        <w:rPr>
          <w:rFonts w:ascii="Tahoma" w:hAnsi="Tahoma" w:cs="Tahoma"/>
        </w:rPr>
      </w:pPr>
      <w:r w:rsidRPr="00BE274E">
        <w:rPr>
          <w:rFonts w:ascii="Tahoma" w:hAnsi="Tahoma" w:cs="Tahoma"/>
        </w:rPr>
        <w:t>produs</w:t>
      </w:r>
      <w:r>
        <w:rPr>
          <w:rFonts w:ascii="Tahoma" w:hAnsi="Tahoma" w:cs="Tahoma"/>
        </w:rPr>
        <w:t xml:space="preserve">e </w:t>
      </w:r>
      <w:r w:rsidR="00D1005B">
        <w:rPr>
          <w:rFonts w:ascii="Tahoma" w:hAnsi="Tahoma" w:cs="Tahoma"/>
        </w:rPr>
        <w:t xml:space="preserve">alimentare, </w:t>
      </w:r>
      <w:r w:rsidR="00FD7394">
        <w:rPr>
          <w:rFonts w:ascii="Tahoma" w:hAnsi="Tahoma" w:cs="Tahoma"/>
        </w:rPr>
        <w:t>băuturi, tutun (1</w:t>
      </w:r>
      <w:r w:rsidR="00BB25D7">
        <w:rPr>
          <w:rFonts w:ascii="Tahoma" w:hAnsi="Tahoma" w:cs="Tahoma"/>
        </w:rPr>
        <w:t>4</w:t>
      </w:r>
      <w:r w:rsidR="00FD7394">
        <w:rPr>
          <w:rFonts w:ascii="Tahoma" w:hAnsi="Tahoma" w:cs="Tahoma"/>
        </w:rPr>
        <w:t>,</w:t>
      </w:r>
      <w:r w:rsidR="00BB25D7">
        <w:rPr>
          <w:rFonts w:ascii="Tahoma" w:hAnsi="Tahoma" w:cs="Tahoma"/>
        </w:rPr>
        <w:t>7</w:t>
      </w:r>
      <w:r w:rsidR="00FD7394">
        <w:rPr>
          <w:rFonts w:ascii="Tahoma" w:hAnsi="Tahoma" w:cs="Tahoma"/>
        </w:rPr>
        <w:t xml:space="preserve">%, respectiv </w:t>
      </w:r>
      <w:r w:rsidR="00BB25D7">
        <w:rPr>
          <w:rFonts w:ascii="Tahoma" w:hAnsi="Tahoma" w:cs="Tahoma"/>
        </w:rPr>
        <w:t>75324</w:t>
      </w:r>
      <w:r w:rsidRPr="00BE274E">
        <w:rPr>
          <w:rFonts w:ascii="Tahoma" w:hAnsi="Tahoma" w:cs="Tahoma"/>
        </w:rPr>
        <w:t xml:space="preserve"> mii euro);</w:t>
      </w:r>
    </w:p>
    <w:p w:rsidR="00BB25D7" w:rsidRPr="002D7F4E" w:rsidRDefault="00BB25D7" w:rsidP="00BB25D7">
      <w:pPr>
        <w:numPr>
          <w:ilvl w:val="0"/>
          <w:numId w:val="5"/>
        </w:numPr>
        <w:spacing w:line="360" w:lineRule="auto"/>
        <w:jc w:val="both"/>
        <w:rPr>
          <w:rFonts w:ascii="Tahoma" w:hAnsi="Tahoma" w:cs="Tahoma"/>
        </w:rPr>
      </w:pPr>
      <w:r>
        <w:rPr>
          <w:rFonts w:ascii="Tahoma" w:hAnsi="Tahoma" w:cs="Tahoma"/>
        </w:rPr>
        <w:t>grăsimi şi uleiuri minerale sau vegetale (8,4%, respectiv 42965</w:t>
      </w:r>
      <w:r w:rsidRPr="00BE274E">
        <w:rPr>
          <w:rFonts w:ascii="Tahoma" w:hAnsi="Tahoma" w:cs="Tahoma"/>
        </w:rPr>
        <w:t xml:space="preserve"> mii euro)</w:t>
      </w:r>
      <w:r>
        <w:rPr>
          <w:rFonts w:ascii="Tahoma" w:hAnsi="Tahoma" w:cs="Tahoma"/>
        </w:rPr>
        <w:t xml:space="preserve">; </w:t>
      </w:r>
    </w:p>
    <w:p w:rsidR="0073575A" w:rsidRDefault="0073575A" w:rsidP="0073575A">
      <w:pPr>
        <w:numPr>
          <w:ilvl w:val="0"/>
          <w:numId w:val="5"/>
        </w:numPr>
        <w:spacing w:line="360" w:lineRule="auto"/>
        <w:jc w:val="both"/>
        <w:rPr>
          <w:rFonts w:ascii="Tahoma" w:hAnsi="Tahoma" w:cs="Tahoma"/>
        </w:rPr>
      </w:pPr>
      <w:r>
        <w:rPr>
          <w:rFonts w:ascii="Tahoma" w:hAnsi="Tahoma" w:cs="Tahoma"/>
        </w:rPr>
        <w:t>an</w:t>
      </w:r>
      <w:r w:rsidR="006E531D">
        <w:rPr>
          <w:rFonts w:ascii="Tahoma" w:hAnsi="Tahoma" w:cs="Tahoma"/>
        </w:rPr>
        <w:t>i</w:t>
      </w:r>
      <w:r w:rsidR="00FD7394">
        <w:rPr>
          <w:rFonts w:ascii="Tahoma" w:hAnsi="Tahoma" w:cs="Tahoma"/>
        </w:rPr>
        <w:t>male vii şi produse animale (8,</w:t>
      </w:r>
      <w:r w:rsidR="00BB25D7">
        <w:rPr>
          <w:rFonts w:ascii="Tahoma" w:hAnsi="Tahoma" w:cs="Tahoma"/>
        </w:rPr>
        <w:t>1</w:t>
      </w:r>
      <w:r w:rsidR="00CB227E">
        <w:rPr>
          <w:rFonts w:ascii="Tahoma" w:hAnsi="Tahoma" w:cs="Tahoma"/>
        </w:rPr>
        <w:t xml:space="preserve">%, respectiv </w:t>
      </w:r>
      <w:r w:rsidR="00BB25D7">
        <w:rPr>
          <w:rFonts w:ascii="Tahoma" w:hAnsi="Tahoma" w:cs="Tahoma"/>
        </w:rPr>
        <w:t>41327</w:t>
      </w:r>
      <w:r w:rsidRPr="00BE274E">
        <w:rPr>
          <w:rFonts w:ascii="Tahoma" w:hAnsi="Tahoma" w:cs="Tahoma"/>
        </w:rPr>
        <w:t xml:space="preserve"> mii euro)</w:t>
      </w:r>
      <w:r w:rsidR="00BB25D7">
        <w:rPr>
          <w:rFonts w:ascii="Tahoma" w:hAnsi="Tahoma" w:cs="Tahoma"/>
        </w:rPr>
        <w:t>.</w:t>
      </w:r>
      <w:r w:rsidRPr="00BE274E">
        <w:rPr>
          <w:rFonts w:ascii="Tahoma" w:hAnsi="Tahoma" w:cs="Tahoma"/>
        </w:rPr>
        <w:t xml:space="preserve"> </w:t>
      </w:r>
    </w:p>
    <w:p w:rsidR="008151C8" w:rsidRDefault="008151C8" w:rsidP="00D14707">
      <w:pPr>
        <w:spacing w:line="360" w:lineRule="auto"/>
        <w:jc w:val="both"/>
        <w:rPr>
          <w:rFonts w:ascii="Tahoma" w:hAnsi="Tahoma" w:cs="Tahoma"/>
        </w:rPr>
      </w:pPr>
      <w:r>
        <w:rPr>
          <w:rFonts w:ascii="Tahoma" w:hAnsi="Tahoma" w:cs="Tahoma"/>
        </w:rPr>
        <w:t>Î</w:t>
      </w:r>
      <w:r w:rsidRPr="00BE274E">
        <w:rPr>
          <w:rFonts w:ascii="Tahoma" w:hAnsi="Tahoma" w:cs="Tahoma"/>
        </w:rPr>
        <w:t xml:space="preserve">n timp ce la </w:t>
      </w:r>
      <w:r w:rsidRPr="00C834C5">
        <w:rPr>
          <w:rFonts w:ascii="Tahoma" w:hAnsi="Tahoma" w:cs="Tahoma"/>
          <w:b/>
          <w:i/>
        </w:rPr>
        <w:t>importuri</w:t>
      </w:r>
      <w:r w:rsidRPr="00BE274E">
        <w:rPr>
          <w:rFonts w:ascii="Tahoma" w:hAnsi="Tahoma" w:cs="Tahoma"/>
        </w:rPr>
        <w:t xml:space="preserve"> ponderi însemnate s-au înregistrat la: </w:t>
      </w:r>
    </w:p>
    <w:p w:rsidR="006E531D" w:rsidRDefault="00CB227E" w:rsidP="006E531D">
      <w:pPr>
        <w:numPr>
          <w:ilvl w:val="0"/>
          <w:numId w:val="5"/>
        </w:numPr>
        <w:spacing w:line="360" w:lineRule="auto"/>
        <w:jc w:val="both"/>
        <w:rPr>
          <w:rFonts w:ascii="Tahoma" w:hAnsi="Tahoma" w:cs="Tahoma"/>
        </w:rPr>
      </w:pPr>
      <w:r>
        <w:rPr>
          <w:rFonts w:ascii="Tahoma" w:hAnsi="Tahoma" w:cs="Tahoma"/>
        </w:rPr>
        <w:t>produse vegetale (21</w:t>
      </w:r>
      <w:r w:rsidR="006E531D" w:rsidRPr="00661E52">
        <w:rPr>
          <w:rFonts w:ascii="Tahoma" w:hAnsi="Tahoma" w:cs="Tahoma"/>
        </w:rPr>
        <w:t>,</w:t>
      </w:r>
      <w:r w:rsidR="00BB25D7">
        <w:rPr>
          <w:rFonts w:ascii="Tahoma" w:hAnsi="Tahoma" w:cs="Tahoma"/>
        </w:rPr>
        <w:t>6</w:t>
      </w:r>
      <w:r w:rsidR="00FD7394">
        <w:rPr>
          <w:rFonts w:ascii="Tahoma" w:hAnsi="Tahoma" w:cs="Tahoma"/>
        </w:rPr>
        <w:t xml:space="preserve">%, respectiv </w:t>
      </w:r>
      <w:r w:rsidR="00BB25D7">
        <w:rPr>
          <w:rFonts w:ascii="Tahoma" w:hAnsi="Tahoma" w:cs="Tahoma"/>
        </w:rPr>
        <w:t>92146</w:t>
      </w:r>
      <w:r w:rsidR="006E531D">
        <w:rPr>
          <w:rFonts w:ascii="Tahoma" w:hAnsi="Tahoma" w:cs="Tahoma"/>
        </w:rPr>
        <w:t xml:space="preserve"> mii euro);</w:t>
      </w:r>
    </w:p>
    <w:p w:rsidR="00D1005B" w:rsidRDefault="00D1005B" w:rsidP="00D1005B">
      <w:pPr>
        <w:numPr>
          <w:ilvl w:val="0"/>
          <w:numId w:val="5"/>
        </w:numPr>
        <w:spacing w:line="360" w:lineRule="auto"/>
        <w:jc w:val="both"/>
        <w:rPr>
          <w:rFonts w:ascii="Tahoma" w:hAnsi="Tahoma" w:cs="Tahoma"/>
        </w:rPr>
      </w:pPr>
      <w:r w:rsidRPr="00BE274E">
        <w:rPr>
          <w:rFonts w:ascii="Tahoma" w:hAnsi="Tahoma" w:cs="Tahoma"/>
        </w:rPr>
        <w:t>metale co</w:t>
      </w:r>
      <w:r w:rsidR="004C36ED">
        <w:rPr>
          <w:rFonts w:ascii="Tahoma" w:hAnsi="Tahoma" w:cs="Tahoma"/>
        </w:rPr>
        <w:t>mune şi articole din acestea (1</w:t>
      </w:r>
      <w:r w:rsidR="00BB25D7">
        <w:rPr>
          <w:rFonts w:ascii="Tahoma" w:hAnsi="Tahoma" w:cs="Tahoma"/>
        </w:rPr>
        <w:t>4</w:t>
      </w:r>
      <w:r w:rsidRPr="00BE274E">
        <w:rPr>
          <w:rFonts w:ascii="Tahoma" w:hAnsi="Tahoma" w:cs="Tahoma"/>
        </w:rPr>
        <w:t>,</w:t>
      </w:r>
      <w:r w:rsidR="00BB25D7">
        <w:rPr>
          <w:rFonts w:ascii="Tahoma" w:hAnsi="Tahoma" w:cs="Tahoma"/>
        </w:rPr>
        <w:t>9</w:t>
      </w:r>
      <w:r w:rsidR="00FD7394">
        <w:rPr>
          <w:rFonts w:ascii="Tahoma" w:hAnsi="Tahoma" w:cs="Tahoma"/>
        </w:rPr>
        <w:t xml:space="preserve">%, respectiv </w:t>
      </w:r>
      <w:r w:rsidR="00BB25D7">
        <w:rPr>
          <w:rFonts w:ascii="Tahoma" w:hAnsi="Tahoma" w:cs="Tahoma"/>
        </w:rPr>
        <w:t>63656</w:t>
      </w:r>
      <w:r w:rsidRPr="00BE274E">
        <w:rPr>
          <w:rFonts w:ascii="Tahoma" w:hAnsi="Tahoma" w:cs="Tahoma"/>
        </w:rPr>
        <w:t xml:space="preserve"> mii euro);</w:t>
      </w:r>
      <w:r>
        <w:rPr>
          <w:rFonts w:ascii="Tahoma" w:hAnsi="Tahoma" w:cs="Tahoma"/>
        </w:rPr>
        <w:t xml:space="preserve"> </w:t>
      </w:r>
    </w:p>
    <w:p w:rsidR="00795EA7" w:rsidRDefault="00795EA7" w:rsidP="00795EA7">
      <w:pPr>
        <w:numPr>
          <w:ilvl w:val="0"/>
          <w:numId w:val="5"/>
        </w:numPr>
        <w:spacing w:line="360" w:lineRule="auto"/>
        <w:jc w:val="both"/>
        <w:rPr>
          <w:rFonts w:ascii="Tahoma" w:hAnsi="Tahoma" w:cs="Tahoma"/>
        </w:rPr>
      </w:pPr>
      <w:r>
        <w:rPr>
          <w:rFonts w:ascii="Tahoma" w:hAnsi="Tahoma" w:cs="Tahoma"/>
        </w:rPr>
        <w:t>materiale plastice, cau</w:t>
      </w:r>
      <w:r w:rsidR="00C62516">
        <w:rPr>
          <w:rFonts w:ascii="Tahoma" w:hAnsi="Tahoma" w:cs="Tahoma"/>
        </w:rPr>
        <w:t>ciuc şi articole din acestea (12</w:t>
      </w:r>
      <w:r w:rsidRPr="00BE274E">
        <w:rPr>
          <w:rFonts w:ascii="Tahoma" w:hAnsi="Tahoma" w:cs="Tahoma"/>
        </w:rPr>
        <w:t>,</w:t>
      </w:r>
      <w:r w:rsidR="00BB25D7">
        <w:rPr>
          <w:rFonts w:ascii="Tahoma" w:hAnsi="Tahoma" w:cs="Tahoma"/>
        </w:rPr>
        <w:t>8</w:t>
      </w:r>
      <w:r w:rsidR="00FD7394">
        <w:rPr>
          <w:rFonts w:ascii="Tahoma" w:hAnsi="Tahoma" w:cs="Tahoma"/>
        </w:rPr>
        <w:t xml:space="preserve">%, respectiv </w:t>
      </w:r>
      <w:r w:rsidR="00BB25D7">
        <w:rPr>
          <w:rFonts w:ascii="Tahoma" w:hAnsi="Tahoma" w:cs="Tahoma"/>
        </w:rPr>
        <w:t>54627</w:t>
      </w:r>
      <w:r>
        <w:rPr>
          <w:rFonts w:ascii="Tahoma" w:hAnsi="Tahoma" w:cs="Tahoma"/>
        </w:rPr>
        <w:t xml:space="preserve"> mii euro);</w:t>
      </w:r>
    </w:p>
    <w:p w:rsidR="00FD7394" w:rsidRDefault="00FD7394" w:rsidP="00FD7394">
      <w:pPr>
        <w:numPr>
          <w:ilvl w:val="0"/>
          <w:numId w:val="5"/>
        </w:numPr>
        <w:spacing w:line="360" w:lineRule="auto"/>
        <w:jc w:val="both"/>
        <w:rPr>
          <w:rFonts w:ascii="Tahoma" w:hAnsi="Tahoma" w:cs="Tahoma"/>
        </w:rPr>
      </w:pPr>
      <w:r>
        <w:rPr>
          <w:rFonts w:ascii="Tahoma" w:hAnsi="Tahoma" w:cs="Tahoma"/>
        </w:rPr>
        <w:t>maşini, aparate şi echipamente electrice (11</w:t>
      </w:r>
      <w:r w:rsidRPr="00BE274E">
        <w:rPr>
          <w:rFonts w:ascii="Tahoma" w:hAnsi="Tahoma" w:cs="Tahoma"/>
        </w:rPr>
        <w:t>,</w:t>
      </w:r>
      <w:r w:rsidR="00BB25D7">
        <w:rPr>
          <w:rFonts w:ascii="Tahoma" w:hAnsi="Tahoma" w:cs="Tahoma"/>
        </w:rPr>
        <w:t>4</w:t>
      </w:r>
      <w:r>
        <w:rPr>
          <w:rFonts w:ascii="Tahoma" w:hAnsi="Tahoma" w:cs="Tahoma"/>
        </w:rPr>
        <w:t>%, respectiv 4</w:t>
      </w:r>
      <w:r w:rsidR="00BB25D7">
        <w:rPr>
          <w:rFonts w:ascii="Tahoma" w:hAnsi="Tahoma" w:cs="Tahoma"/>
        </w:rPr>
        <w:t>8608</w:t>
      </w:r>
      <w:r w:rsidRPr="00BE274E">
        <w:rPr>
          <w:rFonts w:ascii="Tahoma" w:hAnsi="Tahoma" w:cs="Tahoma"/>
        </w:rPr>
        <w:t xml:space="preserve"> mii euro)</w:t>
      </w:r>
      <w:r>
        <w:rPr>
          <w:rFonts w:ascii="Tahoma" w:hAnsi="Tahoma" w:cs="Tahoma"/>
        </w:rPr>
        <w:t>;</w:t>
      </w:r>
    </w:p>
    <w:p w:rsidR="00CB227E" w:rsidRDefault="00CB227E" w:rsidP="00CB227E">
      <w:pPr>
        <w:numPr>
          <w:ilvl w:val="0"/>
          <w:numId w:val="5"/>
        </w:numPr>
        <w:spacing w:line="360" w:lineRule="auto"/>
        <w:jc w:val="both"/>
        <w:rPr>
          <w:rFonts w:ascii="Tahoma" w:hAnsi="Tahoma" w:cs="Tahoma"/>
        </w:rPr>
      </w:pPr>
      <w:r>
        <w:rPr>
          <w:rFonts w:ascii="Tahoma" w:hAnsi="Tahoma" w:cs="Tahoma"/>
        </w:rPr>
        <w:t>produs</w:t>
      </w:r>
      <w:r w:rsidR="00FD7394">
        <w:rPr>
          <w:rFonts w:ascii="Tahoma" w:hAnsi="Tahoma" w:cs="Tahoma"/>
        </w:rPr>
        <w:t>e alimentare, băuturi, tutun (1</w:t>
      </w:r>
      <w:r w:rsidR="00BB25D7">
        <w:rPr>
          <w:rFonts w:ascii="Tahoma" w:hAnsi="Tahoma" w:cs="Tahoma"/>
        </w:rPr>
        <w:t>0</w:t>
      </w:r>
      <w:r w:rsidRPr="00BE274E">
        <w:rPr>
          <w:rFonts w:ascii="Tahoma" w:hAnsi="Tahoma" w:cs="Tahoma"/>
        </w:rPr>
        <w:t>,</w:t>
      </w:r>
      <w:r w:rsidR="00BB25D7">
        <w:rPr>
          <w:rFonts w:ascii="Tahoma" w:hAnsi="Tahoma" w:cs="Tahoma"/>
        </w:rPr>
        <w:t>4</w:t>
      </w:r>
      <w:r w:rsidRPr="00BE274E">
        <w:rPr>
          <w:rFonts w:ascii="Tahoma" w:hAnsi="Tahoma" w:cs="Tahoma"/>
        </w:rPr>
        <w:t xml:space="preserve">%, </w:t>
      </w:r>
      <w:r w:rsidR="00FD7394">
        <w:rPr>
          <w:rFonts w:ascii="Tahoma" w:hAnsi="Tahoma" w:cs="Tahoma"/>
        </w:rPr>
        <w:t>respectiv 4</w:t>
      </w:r>
      <w:r w:rsidR="00BB25D7">
        <w:rPr>
          <w:rFonts w:ascii="Tahoma" w:hAnsi="Tahoma" w:cs="Tahoma"/>
        </w:rPr>
        <w:t>4629</w:t>
      </w:r>
      <w:r w:rsidR="00FD7394">
        <w:rPr>
          <w:rFonts w:ascii="Tahoma" w:hAnsi="Tahoma" w:cs="Tahoma"/>
        </w:rPr>
        <w:t xml:space="preserve"> mii euro).</w:t>
      </w:r>
    </w:p>
    <w:p w:rsidR="00FD7394" w:rsidRPr="00732D5B" w:rsidRDefault="00FD7394" w:rsidP="00FD7394">
      <w:pPr>
        <w:spacing w:line="360" w:lineRule="auto"/>
        <w:ind w:left="1068"/>
        <w:jc w:val="both"/>
        <w:rPr>
          <w:rFonts w:ascii="Tahoma" w:hAnsi="Tahoma" w:cs="Tahoma"/>
        </w:rPr>
      </w:pPr>
    </w:p>
    <w:p w:rsidR="008151C8" w:rsidRPr="00BE274E" w:rsidRDefault="008151C8" w:rsidP="00BE274E">
      <w:pPr>
        <w:spacing w:line="360" w:lineRule="auto"/>
        <w:ind w:firstLine="708"/>
        <w:rPr>
          <w:rFonts w:ascii="Tahoma" w:hAnsi="Tahoma" w:cs="Tahoma"/>
        </w:rPr>
      </w:pPr>
      <w:r w:rsidRPr="00BE274E">
        <w:rPr>
          <w:rFonts w:ascii="Tahoma" w:hAnsi="Tahoma" w:cs="Tahoma"/>
          <w:b/>
        </w:rPr>
        <w:t>3.</w:t>
      </w:r>
      <w:r w:rsidRPr="00BE274E">
        <w:rPr>
          <w:rFonts w:ascii="Tahoma" w:hAnsi="Tahoma" w:cs="Tahoma"/>
        </w:rPr>
        <w:t xml:space="preserve"> </w:t>
      </w:r>
      <w:r w:rsidRPr="00BE274E">
        <w:rPr>
          <w:rFonts w:ascii="Tahoma" w:hAnsi="Tahoma" w:cs="Tahoma"/>
          <w:b/>
          <w:u w:val="single"/>
        </w:rPr>
        <w:t>TURISM</w:t>
      </w:r>
    </w:p>
    <w:p w:rsidR="008151C8" w:rsidRPr="00BE274E" w:rsidRDefault="008151C8" w:rsidP="00BE274E">
      <w:pPr>
        <w:spacing w:line="360" w:lineRule="auto"/>
        <w:rPr>
          <w:rFonts w:ascii="Tahoma" w:hAnsi="Tahoma" w:cs="Tahoma"/>
        </w:rPr>
      </w:pPr>
      <w:r w:rsidRPr="00BE274E">
        <w:rPr>
          <w:rFonts w:ascii="Tahoma" w:hAnsi="Tahoma" w:cs="Tahoma"/>
        </w:rPr>
        <w:tab/>
      </w:r>
    </w:p>
    <w:p w:rsidR="008151C8" w:rsidRDefault="008151C8" w:rsidP="00BE274E">
      <w:pPr>
        <w:spacing w:line="360" w:lineRule="auto"/>
        <w:ind w:firstLine="708"/>
        <w:jc w:val="both"/>
        <w:rPr>
          <w:rFonts w:ascii="Tahoma" w:hAnsi="Tahoma" w:cs="Tahoma"/>
        </w:rPr>
      </w:pPr>
      <w:r>
        <w:rPr>
          <w:rFonts w:ascii="Tahoma" w:hAnsi="Tahoma" w:cs="Tahoma"/>
        </w:rPr>
        <w:t xml:space="preserve">În luna </w:t>
      </w:r>
      <w:r w:rsidR="00DA6F5C">
        <w:rPr>
          <w:rFonts w:ascii="Tahoma" w:hAnsi="Tahoma" w:cs="Tahoma"/>
        </w:rPr>
        <w:t>decembrie</w:t>
      </w:r>
      <w:r w:rsidR="00D45A89">
        <w:rPr>
          <w:rFonts w:ascii="Tahoma" w:hAnsi="Tahoma" w:cs="Tahoma"/>
        </w:rPr>
        <w:t xml:space="preserve"> 2020</w:t>
      </w:r>
      <w:r w:rsidRPr="00BE274E">
        <w:rPr>
          <w:rFonts w:ascii="Tahoma" w:hAnsi="Tahoma" w:cs="Tahoma"/>
        </w:rPr>
        <w:t>, structurile de cazare turistică din judeţul Buzău au găzduit un număr</w:t>
      </w:r>
      <w:r w:rsidR="00FD7394">
        <w:rPr>
          <w:rFonts w:ascii="Tahoma" w:hAnsi="Tahoma" w:cs="Tahoma"/>
        </w:rPr>
        <w:t xml:space="preserve"> de </w:t>
      </w:r>
      <w:r w:rsidR="00BB25D7">
        <w:rPr>
          <w:rFonts w:ascii="Tahoma" w:hAnsi="Tahoma" w:cs="Tahoma"/>
        </w:rPr>
        <w:t>2713</w:t>
      </w:r>
      <w:r w:rsidRPr="00BE274E">
        <w:rPr>
          <w:rFonts w:ascii="Tahoma" w:hAnsi="Tahoma" w:cs="Tahoma"/>
        </w:rPr>
        <w:t xml:space="preserve"> turişti, </w:t>
      </w:r>
      <w:r w:rsidR="00CB227E">
        <w:rPr>
          <w:rFonts w:ascii="Tahoma" w:hAnsi="Tahoma" w:cs="Tahoma"/>
        </w:rPr>
        <w:t>mai p</w:t>
      </w:r>
      <w:r w:rsidR="00EB2597">
        <w:rPr>
          <w:rFonts w:ascii="Tahoma" w:hAnsi="Tahoma" w:cs="Tahoma"/>
        </w:rPr>
        <w:t>u</w:t>
      </w:r>
      <w:r>
        <w:rPr>
          <w:rFonts w:ascii="Tahoma" w:hAnsi="Tahoma" w:cs="Tahoma"/>
        </w:rPr>
        <w:t>ţi</w:t>
      </w:r>
      <w:r w:rsidR="00FD7394">
        <w:rPr>
          <w:rFonts w:ascii="Tahoma" w:hAnsi="Tahoma" w:cs="Tahoma"/>
        </w:rPr>
        <w:t xml:space="preserve">ni cu </w:t>
      </w:r>
      <w:r w:rsidR="00BB25D7">
        <w:rPr>
          <w:rFonts w:ascii="Tahoma" w:hAnsi="Tahoma" w:cs="Tahoma"/>
        </w:rPr>
        <w:t>553</w:t>
      </w:r>
      <w:r w:rsidR="006E531D">
        <w:rPr>
          <w:rFonts w:ascii="Tahoma" w:hAnsi="Tahoma" w:cs="Tahoma"/>
        </w:rPr>
        <w:t xml:space="preserve"> decât în luna </w:t>
      </w:r>
      <w:r w:rsidR="00BB25D7">
        <w:rPr>
          <w:rFonts w:ascii="Tahoma" w:hAnsi="Tahoma" w:cs="Tahoma"/>
        </w:rPr>
        <w:t>noie</w:t>
      </w:r>
      <w:r w:rsidR="00CB227E">
        <w:rPr>
          <w:rFonts w:ascii="Tahoma" w:hAnsi="Tahoma" w:cs="Tahoma"/>
        </w:rPr>
        <w:t>mbrie</w:t>
      </w:r>
      <w:r w:rsidR="007A5F69">
        <w:rPr>
          <w:rFonts w:ascii="Tahoma" w:hAnsi="Tahoma" w:cs="Tahoma"/>
        </w:rPr>
        <w:t xml:space="preserve"> 20</w:t>
      </w:r>
      <w:r w:rsidR="00E02E6C">
        <w:rPr>
          <w:rFonts w:ascii="Tahoma" w:hAnsi="Tahoma" w:cs="Tahoma"/>
        </w:rPr>
        <w:t>20 şi</w:t>
      </w:r>
      <w:r w:rsidR="006E531D">
        <w:rPr>
          <w:rFonts w:ascii="Tahoma" w:hAnsi="Tahoma" w:cs="Tahoma"/>
        </w:rPr>
        <w:t xml:space="preserve"> </w:t>
      </w:r>
      <w:r w:rsidR="007A5F69">
        <w:rPr>
          <w:rFonts w:ascii="Tahoma" w:hAnsi="Tahoma" w:cs="Tahoma"/>
        </w:rPr>
        <w:t xml:space="preserve">cu </w:t>
      </w:r>
      <w:r w:rsidR="00BB25D7">
        <w:rPr>
          <w:rFonts w:ascii="Tahoma" w:hAnsi="Tahoma" w:cs="Tahoma"/>
        </w:rPr>
        <w:t>3986</w:t>
      </w:r>
      <w:r>
        <w:rPr>
          <w:rFonts w:ascii="Tahoma" w:hAnsi="Tahoma" w:cs="Tahoma"/>
        </w:rPr>
        <w:t xml:space="preserve"> faţă de a</w:t>
      </w:r>
      <w:r w:rsidRPr="00BE274E">
        <w:rPr>
          <w:rFonts w:ascii="Tahoma" w:hAnsi="Tahoma" w:cs="Tahoma"/>
        </w:rPr>
        <w:t xml:space="preserve">ceeaşi lună a anului precedent. </w:t>
      </w:r>
    </w:p>
    <w:p w:rsidR="008151C8" w:rsidRPr="00BE274E" w:rsidRDefault="008151C8" w:rsidP="00BE274E">
      <w:pPr>
        <w:spacing w:line="360" w:lineRule="auto"/>
        <w:ind w:firstLine="708"/>
        <w:jc w:val="both"/>
        <w:rPr>
          <w:rFonts w:ascii="Tahoma" w:hAnsi="Tahoma" w:cs="Tahoma"/>
        </w:rPr>
      </w:pPr>
      <w:r w:rsidRPr="00BE274E">
        <w:rPr>
          <w:rFonts w:ascii="Tahoma" w:hAnsi="Tahoma" w:cs="Tahoma"/>
        </w:rPr>
        <w:t xml:space="preserve">Cei </w:t>
      </w:r>
      <w:r>
        <w:rPr>
          <w:rFonts w:ascii="Tahoma" w:hAnsi="Tahoma" w:cs="Tahoma"/>
        </w:rPr>
        <w:t>mai</w:t>
      </w:r>
      <w:r w:rsidRPr="00BE274E">
        <w:rPr>
          <w:rFonts w:ascii="Tahoma" w:hAnsi="Tahoma" w:cs="Tahoma"/>
        </w:rPr>
        <w:t xml:space="preserve"> mulţi dintre aceştia au opta</w:t>
      </w:r>
      <w:r w:rsidR="007A5F69">
        <w:rPr>
          <w:rFonts w:ascii="Tahoma" w:hAnsi="Tahoma" w:cs="Tahoma"/>
        </w:rPr>
        <w:t>t</w:t>
      </w:r>
      <w:r w:rsidR="00394B10">
        <w:rPr>
          <w:rFonts w:ascii="Tahoma" w:hAnsi="Tahoma" w:cs="Tahoma"/>
        </w:rPr>
        <w:t xml:space="preserve"> pentru cazarea la hotelu</w:t>
      </w:r>
      <w:r w:rsidR="00F0586F">
        <w:rPr>
          <w:rFonts w:ascii="Tahoma" w:hAnsi="Tahoma" w:cs="Tahoma"/>
        </w:rPr>
        <w:t>r</w:t>
      </w:r>
      <w:r w:rsidR="00CB227E">
        <w:rPr>
          <w:rFonts w:ascii="Tahoma" w:hAnsi="Tahoma" w:cs="Tahoma"/>
        </w:rPr>
        <w:t>i (53</w:t>
      </w:r>
      <w:r w:rsidRPr="00BE274E">
        <w:rPr>
          <w:rFonts w:ascii="Tahoma" w:hAnsi="Tahoma" w:cs="Tahoma"/>
        </w:rPr>
        <w:t>,</w:t>
      </w:r>
      <w:r w:rsidR="00F876F5">
        <w:rPr>
          <w:rFonts w:ascii="Tahoma" w:hAnsi="Tahoma" w:cs="Tahoma"/>
        </w:rPr>
        <w:t>0</w:t>
      </w:r>
      <w:r w:rsidRPr="00BE274E">
        <w:rPr>
          <w:rFonts w:ascii="Tahoma" w:hAnsi="Tahoma" w:cs="Tahoma"/>
        </w:rPr>
        <w:t xml:space="preserve"> %) </w:t>
      </w:r>
      <w:r>
        <w:rPr>
          <w:rFonts w:ascii="Tahoma" w:hAnsi="Tahoma" w:cs="Tahoma"/>
        </w:rPr>
        <w:t>ş</w:t>
      </w:r>
      <w:r w:rsidR="00E02E6C">
        <w:rPr>
          <w:rFonts w:ascii="Tahoma" w:hAnsi="Tahoma" w:cs="Tahoma"/>
        </w:rPr>
        <w:t xml:space="preserve">i la  </w:t>
      </w:r>
      <w:r w:rsidR="00394B10">
        <w:rPr>
          <w:rFonts w:ascii="Tahoma" w:hAnsi="Tahoma" w:cs="Tahoma"/>
        </w:rPr>
        <w:t>pensiuni agroturistice (3</w:t>
      </w:r>
      <w:r w:rsidR="00BB25D7">
        <w:rPr>
          <w:rFonts w:ascii="Tahoma" w:hAnsi="Tahoma" w:cs="Tahoma"/>
        </w:rPr>
        <w:t>0</w:t>
      </w:r>
      <w:r w:rsidRPr="00BE274E">
        <w:rPr>
          <w:rFonts w:ascii="Tahoma" w:hAnsi="Tahoma" w:cs="Tahoma"/>
        </w:rPr>
        <w:t>,</w:t>
      </w:r>
      <w:r w:rsidR="00BB25D7">
        <w:rPr>
          <w:rFonts w:ascii="Tahoma" w:hAnsi="Tahoma" w:cs="Tahoma"/>
        </w:rPr>
        <w:t>2</w:t>
      </w:r>
      <w:r w:rsidRPr="00BE274E">
        <w:rPr>
          <w:rFonts w:ascii="Tahoma" w:hAnsi="Tahoma" w:cs="Tahoma"/>
        </w:rPr>
        <w:t xml:space="preserve"> %).</w:t>
      </w:r>
    </w:p>
    <w:p w:rsidR="008151C8" w:rsidRDefault="008151C8" w:rsidP="00A9100D">
      <w:pPr>
        <w:spacing w:line="360" w:lineRule="auto"/>
        <w:jc w:val="both"/>
        <w:rPr>
          <w:rFonts w:ascii="Tahoma" w:hAnsi="Tahoma" w:cs="Tahoma"/>
        </w:rPr>
      </w:pPr>
      <w:r w:rsidRPr="00BE274E">
        <w:rPr>
          <w:rFonts w:ascii="Tahoma" w:hAnsi="Tahoma" w:cs="Tahoma"/>
        </w:rPr>
        <w:tab/>
        <w:t xml:space="preserve">Numărul înnoptărilor în principalele structuri de cazare turistică din judeţul Buzău în </w:t>
      </w:r>
      <w:r>
        <w:rPr>
          <w:rFonts w:ascii="Tahoma" w:hAnsi="Tahoma" w:cs="Tahoma"/>
        </w:rPr>
        <w:t xml:space="preserve">luna </w:t>
      </w:r>
      <w:r w:rsidR="00DA6F5C">
        <w:rPr>
          <w:rFonts w:ascii="Tahoma" w:hAnsi="Tahoma" w:cs="Tahoma"/>
        </w:rPr>
        <w:t>decembrie</w:t>
      </w:r>
      <w:r w:rsidR="00D45A89">
        <w:rPr>
          <w:rFonts w:ascii="Tahoma" w:hAnsi="Tahoma" w:cs="Tahoma"/>
        </w:rPr>
        <w:t xml:space="preserve"> 2020</w:t>
      </w:r>
      <w:r w:rsidRPr="00BE274E">
        <w:rPr>
          <w:rFonts w:ascii="Tahoma" w:hAnsi="Tahoma" w:cs="Tahoma"/>
        </w:rPr>
        <w:t xml:space="preserve"> a f</w:t>
      </w:r>
      <w:r w:rsidR="00F876F5">
        <w:rPr>
          <w:rFonts w:ascii="Tahoma" w:hAnsi="Tahoma" w:cs="Tahoma"/>
        </w:rPr>
        <w:t xml:space="preserve">ost de </w:t>
      </w:r>
      <w:r w:rsidR="00BB25D7">
        <w:rPr>
          <w:rFonts w:ascii="Tahoma" w:hAnsi="Tahoma" w:cs="Tahoma"/>
        </w:rPr>
        <w:t>5062</w:t>
      </w:r>
      <w:r w:rsidR="00F876F5">
        <w:rPr>
          <w:rFonts w:ascii="Tahoma" w:hAnsi="Tahoma" w:cs="Tahoma"/>
        </w:rPr>
        <w:t>, în scădere cu 2</w:t>
      </w:r>
      <w:r w:rsidR="00BB25D7">
        <w:rPr>
          <w:rFonts w:ascii="Tahoma" w:hAnsi="Tahoma" w:cs="Tahoma"/>
        </w:rPr>
        <w:t>3</w:t>
      </w:r>
      <w:r w:rsidRPr="00BE274E">
        <w:rPr>
          <w:rFonts w:ascii="Tahoma" w:hAnsi="Tahoma" w:cs="Tahoma"/>
        </w:rPr>
        <w:t>,</w:t>
      </w:r>
      <w:r w:rsidR="00BB25D7">
        <w:rPr>
          <w:rFonts w:ascii="Tahoma" w:hAnsi="Tahoma" w:cs="Tahoma"/>
        </w:rPr>
        <w:t>0</w:t>
      </w:r>
      <w:r w:rsidRPr="00BE274E">
        <w:rPr>
          <w:rFonts w:ascii="Tahoma" w:hAnsi="Tahoma" w:cs="Tahoma"/>
        </w:rPr>
        <w:t xml:space="preserve"> % faţă de</w:t>
      </w:r>
      <w:r w:rsidR="00394B10">
        <w:rPr>
          <w:rFonts w:ascii="Tahoma" w:hAnsi="Tahoma" w:cs="Tahoma"/>
        </w:rPr>
        <w:t xml:space="preserve"> luna </w:t>
      </w:r>
      <w:r w:rsidR="00BB25D7">
        <w:rPr>
          <w:rFonts w:ascii="Tahoma" w:hAnsi="Tahoma" w:cs="Tahoma"/>
        </w:rPr>
        <w:t>noie</w:t>
      </w:r>
      <w:r w:rsidR="00CB227E">
        <w:rPr>
          <w:rFonts w:ascii="Tahoma" w:hAnsi="Tahoma" w:cs="Tahoma"/>
        </w:rPr>
        <w:t>mbrie</w:t>
      </w:r>
      <w:r w:rsidR="00E02E6C">
        <w:rPr>
          <w:rFonts w:ascii="Tahoma" w:hAnsi="Tahoma" w:cs="Tahoma"/>
        </w:rPr>
        <w:t xml:space="preserve"> 2020</w:t>
      </w:r>
      <w:r w:rsidR="00D45A89">
        <w:rPr>
          <w:rFonts w:ascii="Tahoma" w:hAnsi="Tahoma" w:cs="Tahoma"/>
        </w:rPr>
        <w:t xml:space="preserve"> şi </w:t>
      </w:r>
      <w:r w:rsidR="00394B10">
        <w:rPr>
          <w:rFonts w:ascii="Tahoma" w:hAnsi="Tahoma" w:cs="Tahoma"/>
        </w:rPr>
        <w:t xml:space="preserve">în scădere </w:t>
      </w:r>
      <w:r w:rsidR="00443B95">
        <w:rPr>
          <w:rFonts w:ascii="Tahoma" w:hAnsi="Tahoma" w:cs="Tahoma"/>
        </w:rPr>
        <w:t xml:space="preserve">cu </w:t>
      </w:r>
      <w:r w:rsidR="00F876F5">
        <w:rPr>
          <w:rFonts w:ascii="Tahoma" w:hAnsi="Tahoma" w:cs="Tahoma"/>
        </w:rPr>
        <w:t>6</w:t>
      </w:r>
      <w:r w:rsidR="00BB25D7">
        <w:rPr>
          <w:rFonts w:ascii="Tahoma" w:hAnsi="Tahoma" w:cs="Tahoma"/>
        </w:rPr>
        <w:t>1</w:t>
      </w:r>
      <w:r w:rsidR="00F876F5">
        <w:rPr>
          <w:rFonts w:ascii="Tahoma" w:hAnsi="Tahoma" w:cs="Tahoma"/>
        </w:rPr>
        <w:t>,8</w:t>
      </w:r>
      <w:r>
        <w:rPr>
          <w:rFonts w:ascii="Tahoma" w:hAnsi="Tahoma" w:cs="Tahoma"/>
        </w:rPr>
        <w:t xml:space="preserve">% faţă de luna </w:t>
      </w:r>
      <w:r w:rsidR="00DA6F5C">
        <w:rPr>
          <w:rFonts w:ascii="Tahoma" w:hAnsi="Tahoma" w:cs="Tahoma"/>
        </w:rPr>
        <w:t>decembrie</w:t>
      </w:r>
      <w:r w:rsidR="00D45A89">
        <w:rPr>
          <w:rFonts w:ascii="Tahoma" w:hAnsi="Tahoma" w:cs="Tahoma"/>
        </w:rPr>
        <w:t xml:space="preserve"> 2019</w:t>
      </w:r>
      <w:r w:rsidRPr="00BE274E">
        <w:rPr>
          <w:rFonts w:ascii="Tahoma" w:hAnsi="Tahoma" w:cs="Tahoma"/>
        </w:rPr>
        <w:t>.</w:t>
      </w:r>
    </w:p>
    <w:p w:rsidR="008151C8" w:rsidRDefault="008151C8" w:rsidP="00A9100D">
      <w:pPr>
        <w:spacing w:line="360" w:lineRule="auto"/>
        <w:jc w:val="both"/>
      </w:pPr>
    </w:p>
    <w:p w:rsidR="008151C8" w:rsidRPr="00BE274E" w:rsidRDefault="008151C8" w:rsidP="00A9100D">
      <w:pPr>
        <w:spacing w:line="360" w:lineRule="auto"/>
        <w:jc w:val="both"/>
      </w:pPr>
    </w:p>
    <w:p w:rsidR="008151C8" w:rsidRPr="00151075" w:rsidRDefault="00D32F29" w:rsidP="0048755C">
      <w:pPr>
        <w:spacing w:line="360" w:lineRule="auto"/>
        <w:jc w:val="center"/>
        <w:rPr>
          <w:rFonts w:ascii="Tahoma" w:hAnsi="Tahoma" w:cs="Tahoma"/>
        </w:rPr>
      </w:pPr>
      <w:r>
        <w:rPr>
          <w:noProof/>
          <w:lang w:val="en-US" w:eastAsia="en-US"/>
        </w:rPr>
        <w:lastRenderedPageBreak/>
        <w:drawing>
          <wp:inline distT="0" distB="0" distL="0" distR="0" wp14:anchorId="5EB41D92" wp14:editId="3EDF4347">
            <wp:extent cx="6038850" cy="3810000"/>
            <wp:effectExtent l="0" t="0" r="0" b="0"/>
            <wp:docPr id="10" name="Diagramă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51C8" w:rsidRDefault="008151C8" w:rsidP="00BE274E">
      <w:pPr>
        <w:spacing w:line="360" w:lineRule="auto"/>
        <w:ind w:firstLine="708"/>
        <w:jc w:val="both"/>
        <w:rPr>
          <w:rFonts w:ascii="Tahoma" w:hAnsi="Tahoma" w:cs="Tahoma"/>
        </w:rPr>
      </w:pPr>
    </w:p>
    <w:p w:rsidR="008151C8" w:rsidRDefault="008151C8" w:rsidP="00BE274E">
      <w:pPr>
        <w:spacing w:line="360" w:lineRule="auto"/>
        <w:ind w:firstLine="708"/>
        <w:jc w:val="both"/>
        <w:rPr>
          <w:rFonts w:ascii="Tahoma" w:hAnsi="Tahoma" w:cs="Tahoma"/>
        </w:rPr>
      </w:pPr>
    </w:p>
    <w:p w:rsidR="008151C8" w:rsidRPr="00BE274E" w:rsidRDefault="008151C8" w:rsidP="00BE274E">
      <w:pPr>
        <w:spacing w:line="360" w:lineRule="auto"/>
        <w:ind w:firstLine="708"/>
        <w:jc w:val="both"/>
        <w:rPr>
          <w:rFonts w:ascii="Tahoma" w:hAnsi="Tahoma" w:cs="Tahoma"/>
        </w:rPr>
      </w:pPr>
      <w:r w:rsidRPr="00BE274E">
        <w:rPr>
          <w:rFonts w:ascii="Tahoma" w:hAnsi="Tahoma" w:cs="Tahoma"/>
        </w:rPr>
        <w:t>Indicele de utilizare netă a capacităţii de cazare turistică în funcţiune în judeţul Buzău î</w:t>
      </w:r>
      <w:r>
        <w:rPr>
          <w:rFonts w:ascii="Tahoma" w:hAnsi="Tahoma" w:cs="Tahoma"/>
        </w:rPr>
        <w:t xml:space="preserve">n luna </w:t>
      </w:r>
      <w:r w:rsidR="00DA6F5C">
        <w:rPr>
          <w:rFonts w:ascii="Tahoma" w:hAnsi="Tahoma" w:cs="Tahoma"/>
        </w:rPr>
        <w:t>decembrie</w:t>
      </w:r>
      <w:r w:rsidR="00F876F5">
        <w:rPr>
          <w:rFonts w:ascii="Tahoma" w:hAnsi="Tahoma" w:cs="Tahoma"/>
        </w:rPr>
        <w:t xml:space="preserve"> 2020 a fost de </w:t>
      </w:r>
      <w:r w:rsidR="00BB25D7">
        <w:rPr>
          <w:rFonts w:ascii="Tahoma" w:hAnsi="Tahoma" w:cs="Tahoma"/>
        </w:rPr>
        <w:t>4</w:t>
      </w:r>
      <w:r w:rsidR="00F876F5">
        <w:rPr>
          <w:rFonts w:ascii="Tahoma" w:hAnsi="Tahoma" w:cs="Tahoma"/>
        </w:rPr>
        <w:t>,</w:t>
      </w:r>
      <w:r w:rsidR="00BB25D7">
        <w:rPr>
          <w:rFonts w:ascii="Tahoma" w:hAnsi="Tahoma" w:cs="Tahoma"/>
        </w:rPr>
        <w:t>6</w:t>
      </w:r>
      <w:r w:rsidR="00CB227E">
        <w:rPr>
          <w:rFonts w:ascii="Tahoma" w:hAnsi="Tahoma" w:cs="Tahoma"/>
        </w:rPr>
        <w:t xml:space="preserve"> %, în scădere</w:t>
      </w:r>
      <w:r w:rsidRPr="00BE274E">
        <w:rPr>
          <w:rFonts w:ascii="Tahoma" w:hAnsi="Tahoma" w:cs="Tahoma"/>
        </w:rPr>
        <w:t xml:space="preserve"> cu</w:t>
      </w:r>
      <w:r w:rsidR="00F0586F">
        <w:rPr>
          <w:rFonts w:ascii="Tahoma" w:hAnsi="Tahoma" w:cs="Tahoma"/>
        </w:rPr>
        <w:t xml:space="preserve"> </w:t>
      </w:r>
      <w:r w:rsidR="00BB25D7">
        <w:rPr>
          <w:rFonts w:ascii="Tahoma" w:hAnsi="Tahoma" w:cs="Tahoma"/>
        </w:rPr>
        <w:t>1</w:t>
      </w:r>
      <w:r w:rsidR="00F876F5">
        <w:rPr>
          <w:rFonts w:ascii="Tahoma" w:hAnsi="Tahoma" w:cs="Tahoma"/>
        </w:rPr>
        <w:t>,6</w:t>
      </w:r>
      <w:r w:rsidRPr="00BE274E">
        <w:rPr>
          <w:rFonts w:ascii="Tahoma" w:hAnsi="Tahoma" w:cs="Tahoma"/>
        </w:rPr>
        <w:t xml:space="preserve"> puncte</w:t>
      </w:r>
      <w:r w:rsidR="00141C93">
        <w:rPr>
          <w:rFonts w:ascii="Tahoma" w:hAnsi="Tahoma" w:cs="Tahoma"/>
        </w:rPr>
        <w:t xml:space="preserve"> procentuale faţă de luna </w:t>
      </w:r>
      <w:r w:rsidR="00BB25D7">
        <w:rPr>
          <w:rFonts w:ascii="Tahoma" w:hAnsi="Tahoma" w:cs="Tahoma"/>
        </w:rPr>
        <w:t>noie</w:t>
      </w:r>
      <w:r w:rsidR="00CB227E">
        <w:rPr>
          <w:rFonts w:ascii="Tahoma" w:hAnsi="Tahoma" w:cs="Tahoma"/>
        </w:rPr>
        <w:t>mbrie</w:t>
      </w:r>
      <w:r w:rsidR="00E02E6C">
        <w:rPr>
          <w:rFonts w:ascii="Tahoma" w:hAnsi="Tahoma" w:cs="Tahoma"/>
        </w:rPr>
        <w:t xml:space="preserve"> 2020</w:t>
      </w:r>
      <w:r w:rsidR="009D3742">
        <w:rPr>
          <w:rFonts w:ascii="Tahoma" w:hAnsi="Tahoma" w:cs="Tahoma"/>
        </w:rPr>
        <w:t xml:space="preserve"> şi</w:t>
      </w:r>
      <w:r w:rsidR="00F876F5">
        <w:rPr>
          <w:rFonts w:ascii="Tahoma" w:hAnsi="Tahoma" w:cs="Tahoma"/>
        </w:rPr>
        <w:t xml:space="preserve"> cu </w:t>
      </w:r>
      <w:r w:rsidR="00BB25D7">
        <w:rPr>
          <w:rFonts w:ascii="Tahoma" w:hAnsi="Tahoma" w:cs="Tahoma"/>
        </w:rPr>
        <w:t>7</w:t>
      </w:r>
      <w:r w:rsidR="00CB227E">
        <w:rPr>
          <w:rFonts w:ascii="Tahoma" w:hAnsi="Tahoma" w:cs="Tahoma"/>
        </w:rPr>
        <w:t>,</w:t>
      </w:r>
      <w:r w:rsidR="00BB25D7">
        <w:rPr>
          <w:rFonts w:ascii="Tahoma" w:hAnsi="Tahoma" w:cs="Tahoma"/>
        </w:rPr>
        <w:t>4</w:t>
      </w:r>
      <w:r w:rsidRPr="00BE274E">
        <w:rPr>
          <w:rFonts w:ascii="Tahoma" w:hAnsi="Tahoma" w:cs="Tahoma"/>
        </w:rPr>
        <w:t xml:space="preserve"> punc</w:t>
      </w:r>
      <w:r w:rsidR="007A5F69">
        <w:rPr>
          <w:rFonts w:ascii="Tahoma" w:hAnsi="Tahoma" w:cs="Tahoma"/>
        </w:rPr>
        <w:t>t</w:t>
      </w:r>
      <w:r w:rsidR="00865067">
        <w:rPr>
          <w:rFonts w:ascii="Tahoma" w:hAnsi="Tahoma" w:cs="Tahoma"/>
        </w:rPr>
        <w:t>e</w:t>
      </w:r>
      <w:r>
        <w:rPr>
          <w:rFonts w:ascii="Tahoma" w:hAnsi="Tahoma" w:cs="Tahoma"/>
        </w:rPr>
        <w:t xml:space="preserve"> </w:t>
      </w:r>
      <w:r w:rsidR="007A5F69">
        <w:rPr>
          <w:rFonts w:ascii="Tahoma" w:hAnsi="Tahoma" w:cs="Tahoma"/>
        </w:rPr>
        <w:t>procentual</w:t>
      </w:r>
      <w:r w:rsidR="00865067">
        <w:rPr>
          <w:rFonts w:ascii="Tahoma" w:hAnsi="Tahoma" w:cs="Tahoma"/>
        </w:rPr>
        <w:t>e</w:t>
      </w:r>
      <w:r>
        <w:rPr>
          <w:rFonts w:ascii="Tahoma" w:hAnsi="Tahoma" w:cs="Tahoma"/>
        </w:rPr>
        <w:t xml:space="preserve"> faţă de luna </w:t>
      </w:r>
      <w:r w:rsidR="00DA6F5C">
        <w:rPr>
          <w:rFonts w:ascii="Tahoma" w:hAnsi="Tahoma" w:cs="Tahoma"/>
        </w:rPr>
        <w:t>decembrie</w:t>
      </w:r>
      <w:r w:rsidR="00141C93">
        <w:rPr>
          <w:rFonts w:ascii="Tahoma" w:hAnsi="Tahoma" w:cs="Tahoma"/>
        </w:rPr>
        <w:t xml:space="preserve"> 2019</w:t>
      </w:r>
      <w:r w:rsidRPr="00BE274E">
        <w:rPr>
          <w:rFonts w:ascii="Tahoma" w:hAnsi="Tahoma" w:cs="Tahoma"/>
        </w:rPr>
        <w:t>.</w:t>
      </w:r>
    </w:p>
    <w:p w:rsidR="008151C8" w:rsidRDefault="008151C8" w:rsidP="00BE274E">
      <w:pPr>
        <w:spacing w:line="360" w:lineRule="auto"/>
        <w:rPr>
          <w:rFonts w:ascii="Tahoma" w:hAnsi="Tahoma" w:cs="Tahoma"/>
        </w:rPr>
      </w:pPr>
    </w:p>
    <w:p w:rsidR="008151C8" w:rsidRDefault="008151C8" w:rsidP="00BE274E">
      <w:pPr>
        <w:spacing w:line="360" w:lineRule="auto"/>
        <w:rPr>
          <w:rFonts w:ascii="Tahoma" w:hAnsi="Tahoma" w:cs="Tahoma"/>
        </w:rPr>
      </w:pPr>
    </w:p>
    <w:p w:rsidR="008151C8" w:rsidRDefault="008151C8" w:rsidP="00BE274E">
      <w:pPr>
        <w:spacing w:line="360" w:lineRule="auto"/>
        <w:rPr>
          <w:rFonts w:ascii="Tahoma" w:hAnsi="Tahoma" w:cs="Tahoma"/>
        </w:rPr>
      </w:pPr>
    </w:p>
    <w:p w:rsidR="008151C8" w:rsidRDefault="008151C8" w:rsidP="00BE274E">
      <w:pPr>
        <w:spacing w:line="360" w:lineRule="auto"/>
        <w:rPr>
          <w:rFonts w:ascii="Tahoma" w:hAnsi="Tahoma" w:cs="Tahoma"/>
        </w:rPr>
      </w:pPr>
    </w:p>
    <w:p w:rsidR="008151C8" w:rsidRPr="00BE274E" w:rsidRDefault="008151C8" w:rsidP="00BE274E">
      <w:pPr>
        <w:spacing w:line="360" w:lineRule="auto"/>
        <w:jc w:val="center"/>
        <w:rPr>
          <w:rFonts w:ascii="Tahoma" w:hAnsi="Tahoma" w:cs="Tahoma"/>
          <w:b/>
        </w:rPr>
      </w:pPr>
      <w:r w:rsidRPr="00BE274E">
        <w:rPr>
          <w:rFonts w:ascii="Tahoma" w:hAnsi="Tahoma" w:cs="Tahoma"/>
          <w:b/>
          <w:u w:val="single"/>
        </w:rPr>
        <w:t>STAREA SOCIALĂ</w:t>
      </w:r>
    </w:p>
    <w:p w:rsidR="008151C8" w:rsidRPr="00BE274E" w:rsidRDefault="008151C8" w:rsidP="00BE274E">
      <w:pPr>
        <w:spacing w:line="360" w:lineRule="auto"/>
        <w:rPr>
          <w:rFonts w:ascii="Tahoma" w:hAnsi="Tahoma" w:cs="Tahoma"/>
        </w:rPr>
      </w:pPr>
      <w:r w:rsidRPr="00BE274E">
        <w:rPr>
          <w:rFonts w:ascii="Tahoma" w:hAnsi="Tahoma" w:cs="Tahoma"/>
        </w:rPr>
        <w:tab/>
      </w:r>
      <w:r w:rsidRPr="00BE274E">
        <w:rPr>
          <w:rFonts w:ascii="Tahoma" w:hAnsi="Tahoma" w:cs="Tahoma"/>
          <w:b/>
        </w:rPr>
        <w:t>4.</w:t>
      </w:r>
      <w:r w:rsidRPr="00BE274E">
        <w:rPr>
          <w:rFonts w:ascii="Tahoma" w:hAnsi="Tahoma" w:cs="Tahoma"/>
        </w:rPr>
        <w:t xml:space="preserve"> </w:t>
      </w:r>
      <w:r w:rsidRPr="00BE274E">
        <w:rPr>
          <w:rFonts w:ascii="Tahoma" w:hAnsi="Tahoma" w:cs="Tahoma"/>
          <w:b/>
          <w:u w:val="single"/>
        </w:rPr>
        <w:t>FORŢA DE MUNCĂ</w:t>
      </w:r>
    </w:p>
    <w:p w:rsidR="008151C8" w:rsidRDefault="008151C8" w:rsidP="008F7435">
      <w:pPr>
        <w:spacing w:line="360" w:lineRule="auto"/>
        <w:jc w:val="both"/>
        <w:rPr>
          <w:rFonts w:ascii="Tahoma" w:hAnsi="Tahoma" w:cs="Tahoma"/>
        </w:rPr>
      </w:pPr>
      <w:r w:rsidRPr="00BE274E">
        <w:rPr>
          <w:rFonts w:ascii="Tahoma" w:hAnsi="Tahoma" w:cs="Tahoma"/>
        </w:rPr>
        <w:tab/>
        <w:t>Efectivul salariaţilor din judeţul Buzău la sfârşit</w:t>
      </w:r>
      <w:r>
        <w:rPr>
          <w:rFonts w:ascii="Tahoma" w:hAnsi="Tahoma" w:cs="Tahoma"/>
        </w:rPr>
        <w:t xml:space="preserve">ul lunii </w:t>
      </w:r>
      <w:r w:rsidR="00DA6F5C">
        <w:rPr>
          <w:rFonts w:ascii="Tahoma" w:hAnsi="Tahoma" w:cs="Tahoma"/>
        </w:rPr>
        <w:t>decembrie</w:t>
      </w:r>
      <w:r w:rsidR="00D45A89">
        <w:rPr>
          <w:rFonts w:ascii="Tahoma" w:hAnsi="Tahoma" w:cs="Tahoma"/>
        </w:rPr>
        <w:t xml:space="preserve"> 2020</w:t>
      </w:r>
      <w:r w:rsidRPr="00BE274E">
        <w:rPr>
          <w:rFonts w:ascii="Tahoma" w:hAnsi="Tahoma" w:cs="Tahoma"/>
        </w:rPr>
        <w:t xml:space="preserve"> a fost d</w:t>
      </w:r>
      <w:r w:rsidR="00865067">
        <w:rPr>
          <w:rFonts w:ascii="Tahoma" w:hAnsi="Tahoma" w:cs="Tahoma"/>
        </w:rPr>
        <w:t>e 8</w:t>
      </w:r>
      <w:r w:rsidR="00F876F5">
        <w:rPr>
          <w:rFonts w:ascii="Tahoma" w:hAnsi="Tahoma" w:cs="Tahoma"/>
        </w:rPr>
        <w:t>5</w:t>
      </w:r>
      <w:r w:rsidR="00BB25D7">
        <w:rPr>
          <w:rFonts w:ascii="Tahoma" w:hAnsi="Tahoma" w:cs="Tahoma"/>
        </w:rPr>
        <w:t>638</w:t>
      </w:r>
      <w:r w:rsidR="00B452FE">
        <w:rPr>
          <w:rFonts w:ascii="Tahoma" w:hAnsi="Tahoma" w:cs="Tahoma"/>
        </w:rPr>
        <w:t xml:space="preserve"> persoane, în </w:t>
      </w:r>
      <w:r w:rsidR="00BB25D7">
        <w:rPr>
          <w:rFonts w:ascii="Tahoma" w:hAnsi="Tahoma" w:cs="Tahoma"/>
        </w:rPr>
        <w:t>scădere</w:t>
      </w:r>
      <w:r w:rsidR="00141C93">
        <w:rPr>
          <w:rFonts w:ascii="Tahoma" w:hAnsi="Tahoma" w:cs="Tahoma"/>
        </w:rPr>
        <w:t xml:space="preserve"> cu </w:t>
      </w:r>
      <w:r w:rsidR="00BB25D7">
        <w:rPr>
          <w:rFonts w:ascii="Tahoma" w:hAnsi="Tahoma" w:cs="Tahoma"/>
        </w:rPr>
        <w:t>283</w:t>
      </w:r>
      <w:r>
        <w:rPr>
          <w:rFonts w:ascii="Tahoma" w:hAnsi="Tahoma" w:cs="Tahoma"/>
        </w:rPr>
        <w:t xml:space="preserve"> persoa</w:t>
      </w:r>
      <w:r w:rsidR="00141C93">
        <w:rPr>
          <w:rFonts w:ascii="Tahoma" w:hAnsi="Tahoma" w:cs="Tahoma"/>
        </w:rPr>
        <w:t xml:space="preserve">ne faţă de sfârşitul lunii </w:t>
      </w:r>
      <w:r w:rsidR="00BB25D7">
        <w:rPr>
          <w:rFonts w:ascii="Tahoma" w:hAnsi="Tahoma" w:cs="Tahoma"/>
        </w:rPr>
        <w:t>noie</w:t>
      </w:r>
      <w:r w:rsidR="00CB227E">
        <w:rPr>
          <w:rFonts w:ascii="Tahoma" w:hAnsi="Tahoma" w:cs="Tahoma"/>
        </w:rPr>
        <w:t>mbrie</w:t>
      </w:r>
      <w:r w:rsidR="00E02E6C">
        <w:rPr>
          <w:rFonts w:ascii="Tahoma" w:hAnsi="Tahoma" w:cs="Tahoma"/>
        </w:rPr>
        <w:t xml:space="preserve"> 2020</w:t>
      </w:r>
      <w:r>
        <w:rPr>
          <w:rFonts w:ascii="Tahoma" w:hAnsi="Tahoma" w:cs="Tahoma"/>
        </w:rPr>
        <w:t xml:space="preserve"> şi</w:t>
      </w:r>
      <w:r w:rsidR="00B452FE">
        <w:rPr>
          <w:rFonts w:ascii="Tahoma" w:hAnsi="Tahoma" w:cs="Tahoma"/>
        </w:rPr>
        <w:t xml:space="preserve"> </w:t>
      </w:r>
      <w:r w:rsidR="00F876F5">
        <w:rPr>
          <w:rFonts w:ascii="Tahoma" w:hAnsi="Tahoma" w:cs="Tahoma"/>
        </w:rPr>
        <w:t>cu 2</w:t>
      </w:r>
      <w:r w:rsidR="00BB25D7">
        <w:rPr>
          <w:rFonts w:ascii="Tahoma" w:hAnsi="Tahoma" w:cs="Tahoma"/>
        </w:rPr>
        <w:t>90</w:t>
      </w:r>
      <w:r>
        <w:rPr>
          <w:rFonts w:ascii="Tahoma" w:hAnsi="Tahoma" w:cs="Tahoma"/>
        </w:rPr>
        <w:t xml:space="preserve"> faţă de sfârşitul lunii </w:t>
      </w:r>
      <w:r w:rsidR="00DA6F5C">
        <w:rPr>
          <w:rFonts w:ascii="Tahoma" w:hAnsi="Tahoma" w:cs="Tahoma"/>
        </w:rPr>
        <w:t>decembrie</w:t>
      </w:r>
      <w:r>
        <w:rPr>
          <w:rFonts w:ascii="Tahoma" w:hAnsi="Tahoma" w:cs="Tahoma"/>
        </w:rPr>
        <w:t xml:space="preserve"> </w:t>
      </w:r>
      <w:r w:rsidRPr="00BE274E">
        <w:rPr>
          <w:rFonts w:ascii="Tahoma" w:hAnsi="Tahoma" w:cs="Tahoma"/>
        </w:rPr>
        <w:t>a anului precedent.</w:t>
      </w:r>
    </w:p>
    <w:p w:rsidR="008151C8" w:rsidRPr="00151075" w:rsidRDefault="00D32F29" w:rsidP="0048755C">
      <w:pPr>
        <w:spacing w:line="360" w:lineRule="auto"/>
        <w:jc w:val="center"/>
      </w:pPr>
      <w:r>
        <w:rPr>
          <w:noProof/>
          <w:lang w:val="en-US" w:eastAsia="en-US"/>
        </w:rPr>
        <w:lastRenderedPageBreak/>
        <w:drawing>
          <wp:inline distT="0" distB="0" distL="0" distR="0" wp14:anchorId="6F0C1E8B" wp14:editId="3EFCADBC">
            <wp:extent cx="6400800" cy="4076700"/>
            <wp:effectExtent l="0" t="0" r="0" b="0"/>
            <wp:docPr id="11" name="Diagramă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51C8" w:rsidRDefault="008151C8" w:rsidP="007A2871">
      <w:pPr>
        <w:spacing w:line="360" w:lineRule="auto"/>
        <w:ind w:firstLine="708"/>
        <w:jc w:val="both"/>
        <w:rPr>
          <w:rFonts w:ascii="Tahoma" w:hAnsi="Tahoma" w:cs="Tahoma"/>
        </w:rPr>
      </w:pPr>
      <w:r w:rsidRPr="00BE274E">
        <w:rPr>
          <w:rFonts w:ascii="Tahoma" w:hAnsi="Tahoma" w:cs="Tahoma"/>
        </w:rPr>
        <w:t xml:space="preserve">Câştigul salarial mediu nominal </w:t>
      </w:r>
      <w:r>
        <w:rPr>
          <w:rFonts w:ascii="Tahoma" w:hAnsi="Tahoma" w:cs="Tahoma"/>
        </w:rPr>
        <w:t>brut</w:t>
      </w:r>
      <w:r w:rsidRPr="00BE274E">
        <w:rPr>
          <w:rFonts w:ascii="Tahoma" w:hAnsi="Tahoma" w:cs="Tahoma"/>
        </w:rPr>
        <w:t xml:space="preserve"> real</w:t>
      </w:r>
      <w:r>
        <w:rPr>
          <w:rFonts w:ascii="Tahoma" w:hAnsi="Tahoma" w:cs="Tahoma"/>
        </w:rPr>
        <w:t xml:space="preserve">izat în luna </w:t>
      </w:r>
      <w:r w:rsidR="00DA6F5C">
        <w:rPr>
          <w:rFonts w:ascii="Tahoma" w:hAnsi="Tahoma" w:cs="Tahoma"/>
        </w:rPr>
        <w:t>decembrie</w:t>
      </w:r>
      <w:r w:rsidR="00D45A89">
        <w:rPr>
          <w:rFonts w:ascii="Tahoma" w:hAnsi="Tahoma" w:cs="Tahoma"/>
        </w:rPr>
        <w:t xml:space="preserve"> 2020</w:t>
      </w:r>
      <w:r w:rsidR="00F876F5">
        <w:rPr>
          <w:rFonts w:ascii="Tahoma" w:hAnsi="Tahoma" w:cs="Tahoma"/>
        </w:rPr>
        <w:t xml:space="preserve"> în judeţul Buzău a fost de 4</w:t>
      </w:r>
      <w:r w:rsidR="00BB25D7">
        <w:rPr>
          <w:rFonts w:ascii="Tahoma" w:hAnsi="Tahoma" w:cs="Tahoma"/>
        </w:rPr>
        <w:t>512</w:t>
      </w:r>
      <w:r w:rsidRPr="00BE274E">
        <w:rPr>
          <w:rFonts w:ascii="Tahoma" w:hAnsi="Tahoma" w:cs="Tahoma"/>
        </w:rPr>
        <w:t xml:space="preserve"> lei, în timp ce </w:t>
      </w:r>
      <w:r w:rsidR="00F876F5">
        <w:rPr>
          <w:rFonts w:ascii="Tahoma" w:hAnsi="Tahoma" w:cs="Tahoma"/>
        </w:rPr>
        <w:t>la nivel naţional a fost de 5</w:t>
      </w:r>
      <w:r w:rsidR="00BB25D7">
        <w:rPr>
          <w:rFonts w:ascii="Tahoma" w:hAnsi="Tahoma" w:cs="Tahoma"/>
        </w:rPr>
        <w:t>906</w:t>
      </w:r>
      <w:r w:rsidRPr="00BE274E">
        <w:rPr>
          <w:rFonts w:ascii="Tahoma" w:hAnsi="Tahoma" w:cs="Tahoma"/>
        </w:rPr>
        <w:t xml:space="preserve"> lei.</w:t>
      </w:r>
    </w:p>
    <w:p w:rsidR="008151C8" w:rsidRPr="00BE274E" w:rsidRDefault="008151C8" w:rsidP="007A2871">
      <w:pPr>
        <w:spacing w:line="360" w:lineRule="auto"/>
        <w:ind w:firstLine="708"/>
        <w:jc w:val="both"/>
        <w:rPr>
          <w:rFonts w:ascii="Tahoma" w:hAnsi="Tahoma" w:cs="Tahoma"/>
        </w:rPr>
      </w:pPr>
      <w:r w:rsidRPr="00BE274E">
        <w:rPr>
          <w:rFonts w:ascii="Tahoma" w:hAnsi="Tahoma" w:cs="Tahoma"/>
        </w:rPr>
        <w:t>Câştigul salarial mediu n</w:t>
      </w:r>
      <w:r>
        <w:rPr>
          <w:rFonts w:ascii="Tahoma" w:hAnsi="Tahoma" w:cs="Tahoma"/>
        </w:rPr>
        <w:t>ominal net</w:t>
      </w:r>
      <w:r w:rsidRPr="00BE274E">
        <w:rPr>
          <w:rFonts w:ascii="Tahoma" w:hAnsi="Tahoma" w:cs="Tahoma"/>
        </w:rPr>
        <w:t xml:space="preserve"> a fos</w:t>
      </w:r>
      <w:r>
        <w:rPr>
          <w:rFonts w:ascii="Tahoma" w:hAnsi="Tahoma" w:cs="Tahoma"/>
        </w:rPr>
        <w:t xml:space="preserve">t în luna </w:t>
      </w:r>
      <w:r w:rsidR="00DA6F5C">
        <w:rPr>
          <w:rFonts w:ascii="Tahoma" w:hAnsi="Tahoma" w:cs="Tahoma"/>
        </w:rPr>
        <w:t>decembrie</w:t>
      </w:r>
      <w:r w:rsidR="00D45A89">
        <w:rPr>
          <w:rFonts w:ascii="Tahoma" w:hAnsi="Tahoma" w:cs="Tahoma"/>
        </w:rPr>
        <w:t xml:space="preserve"> 2020</w:t>
      </w:r>
      <w:r w:rsidRPr="00BE274E">
        <w:rPr>
          <w:rFonts w:ascii="Tahoma" w:hAnsi="Tahoma" w:cs="Tahoma"/>
        </w:rPr>
        <w:t xml:space="preserve"> la nivelul judeţului Buzău de </w:t>
      </w:r>
      <w:r w:rsidR="00F876F5">
        <w:rPr>
          <w:rFonts w:ascii="Tahoma" w:hAnsi="Tahoma" w:cs="Tahoma"/>
        </w:rPr>
        <w:t>2</w:t>
      </w:r>
      <w:r w:rsidR="00BB25D7">
        <w:rPr>
          <w:rFonts w:ascii="Tahoma" w:hAnsi="Tahoma" w:cs="Tahoma"/>
        </w:rPr>
        <w:t>773</w:t>
      </w:r>
      <w:r w:rsidRPr="00BE274E">
        <w:rPr>
          <w:rFonts w:ascii="Tahoma" w:hAnsi="Tahoma" w:cs="Tahoma"/>
        </w:rPr>
        <w:t xml:space="preserve"> lei, </w:t>
      </w:r>
      <w:r w:rsidR="004453A6">
        <w:rPr>
          <w:rFonts w:ascii="Tahoma" w:hAnsi="Tahoma" w:cs="Tahoma"/>
        </w:rPr>
        <w:t>mai</w:t>
      </w:r>
      <w:r w:rsidR="005F6C3A">
        <w:rPr>
          <w:rFonts w:ascii="Tahoma" w:hAnsi="Tahoma" w:cs="Tahoma"/>
        </w:rPr>
        <w:t xml:space="preserve"> mare</w:t>
      </w:r>
      <w:r w:rsidRPr="00BE274E">
        <w:rPr>
          <w:rFonts w:ascii="Tahoma" w:hAnsi="Tahoma" w:cs="Tahoma"/>
        </w:rPr>
        <w:t xml:space="preserve"> </w:t>
      </w:r>
      <w:r w:rsidR="00F876F5">
        <w:rPr>
          <w:rFonts w:ascii="Tahoma" w:hAnsi="Tahoma" w:cs="Tahoma"/>
        </w:rPr>
        <w:t xml:space="preserve">cu </w:t>
      </w:r>
      <w:r w:rsidR="00BB25D7">
        <w:rPr>
          <w:rFonts w:ascii="Tahoma" w:hAnsi="Tahoma" w:cs="Tahoma"/>
        </w:rPr>
        <w:t>5</w:t>
      </w:r>
      <w:r w:rsidR="00F876F5">
        <w:rPr>
          <w:rFonts w:ascii="Tahoma" w:hAnsi="Tahoma" w:cs="Tahoma"/>
        </w:rPr>
        <w:t>,</w:t>
      </w:r>
      <w:r w:rsidR="00BB25D7">
        <w:rPr>
          <w:rFonts w:ascii="Tahoma" w:hAnsi="Tahoma" w:cs="Tahoma"/>
        </w:rPr>
        <w:t>2</w:t>
      </w:r>
      <w:r>
        <w:rPr>
          <w:rFonts w:ascii="Tahoma" w:hAnsi="Tahoma" w:cs="Tahoma"/>
        </w:rPr>
        <w:t xml:space="preserve"> % </w:t>
      </w:r>
      <w:r w:rsidR="005F6C3A">
        <w:rPr>
          <w:rFonts w:ascii="Tahoma" w:hAnsi="Tahoma" w:cs="Tahoma"/>
        </w:rPr>
        <w:t>faţă de luna precedentă şi</w:t>
      </w:r>
      <w:r w:rsidR="006F2DD5">
        <w:rPr>
          <w:rFonts w:ascii="Tahoma" w:hAnsi="Tahoma" w:cs="Tahoma"/>
        </w:rPr>
        <w:t xml:space="preserve"> </w:t>
      </w:r>
      <w:r w:rsidR="004930C3">
        <w:rPr>
          <w:rFonts w:ascii="Tahoma" w:hAnsi="Tahoma" w:cs="Tahoma"/>
        </w:rPr>
        <w:t>cu</w:t>
      </w:r>
      <w:r w:rsidR="004D2277">
        <w:rPr>
          <w:rFonts w:ascii="Tahoma" w:hAnsi="Tahoma" w:cs="Tahoma"/>
        </w:rPr>
        <w:t xml:space="preserve"> 3,</w:t>
      </w:r>
      <w:r w:rsidR="00BB25D7">
        <w:rPr>
          <w:rFonts w:ascii="Tahoma" w:hAnsi="Tahoma" w:cs="Tahoma"/>
        </w:rPr>
        <w:t>9</w:t>
      </w:r>
      <w:r w:rsidR="00865067">
        <w:rPr>
          <w:rFonts w:ascii="Tahoma" w:hAnsi="Tahoma" w:cs="Tahoma"/>
        </w:rPr>
        <w:t xml:space="preserve"> %</w:t>
      </w:r>
      <w:r>
        <w:rPr>
          <w:rFonts w:ascii="Tahoma" w:hAnsi="Tahoma" w:cs="Tahoma"/>
        </w:rPr>
        <w:t xml:space="preserve"> faţă de luna </w:t>
      </w:r>
      <w:r w:rsidR="00DA6F5C">
        <w:rPr>
          <w:rFonts w:ascii="Tahoma" w:hAnsi="Tahoma" w:cs="Tahoma"/>
        </w:rPr>
        <w:t>decembrie</w:t>
      </w:r>
      <w:r w:rsidR="00141C93">
        <w:rPr>
          <w:rFonts w:ascii="Tahoma" w:hAnsi="Tahoma" w:cs="Tahoma"/>
        </w:rPr>
        <w:t xml:space="preserve"> 2019</w:t>
      </w:r>
      <w:r w:rsidRPr="00BE274E">
        <w:rPr>
          <w:rFonts w:ascii="Tahoma" w:hAnsi="Tahoma" w:cs="Tahoma"/>
        </w:rPr>
        <w:t>.</w:t>
      </w:r>
    </w:p>
    <w:p w:rsidR="008151C8" w:rsidRDefault="008151C8" w:rsidP="00BE274E">
      <w:pPr>
        <w:spacing w:line="360" w:lineRule="auto"/>
        <w:jc w:val="both"/>
        <w:rPr>
          <w:rFonts w:ascii="Tahoma" w:hAnsi="Tahoma" w:cs="Tahoma"/>
        </w:rPr>
      </w:pPr>
      <w:r w:rsidRPr="00BE274E">
        <w:rPr>
          <w:rFonts w:ascii="Tahoma" w:hAnsi="Tahoma" w:cs="Tahoma"/>
        </w:rPr>
        <w:tab/>
        <w:t xml:space="preserve">Câştigul salarial mediu nominal </w:t>
      </w:r>
      <w:r>
        <w:rPr>
          <w:rFonts w:ascii="Tahoma" w:hAnsi="Tahoma" w:cs="Tahoma"/>
        </w:rPr>
        <w:t>net</w:t>
      </w:r>
      <w:r w:rsidRPr="00BE274E">
        <w:rPr>
          <w:rFonts w:ascii="Tahoma" w:hAnsi="Tahoma" w:cs="Tahoma"/>
        </w:rPr>
        <w:t xml:space="preserve"> </w:t>
      </w:r>
      <w:r w:rsidR="00F876F5">
        <w:rPr>
          <w:rFonts w:ascii="Tahoma" w:hAnsi="Tahoma" w:cs="Tahoma"/>
        </w:rPr>
        <w:t>la nivel naţional a fost de 3</w:t>
      </w:r>
      <w:r w:rsidR="00BB25D7">
        <w:rPr>
          <w:rFonts w:ascii="Tahoma" w:hAnsi="Tahoma" w:cs="Tahoma"/>
        </w:rPr>
        <w:t>620</w:t>
      </w:r>
      <w:r w:rsidRPr="00BE274E">
        <w:rPr>
          <w:rFonts w:ascii="Tahoma" w:hAnsi="Tahoma" w:cs="Tahoma"/>
        </w:rPr>
        <w:t xml:space="preserve"> lei, </w:t>
      </w:r>
      <w:r w:rsidR="006F2DD5">
        <w:rPr>
          <w:rFonts w:ascii="Tahoma" w:hAnsi="Tahoma" w:cs="Tahoma"/>
        </w:rPr>
        <w:t xml:space="preserve">în </w:t>
      </w:r>
      <w:r w:rsidR="005F6C3A">
        <w:rPr>
          <w:rFonts w:ascii="Tahoma" w:hAnsi="Tahoma" w:cs="Tahoma"/>
        </w:rPr>
        <w:t>creştere</w:t>
      </w:r>
      <w:r w:rsidRPr="00BE274E">
        <w:rPr>
          <w:rFonts w:ascii="Tahoma" w:hAnsi="Tahoma" w:cs="Tahoma"/>
        </w:rPr>
        <w:t xml:space="preserve"> faţă de luna precedentă</w:t>
      </w:r>
      <w:r w:rsidR="00443B95">
        <w:rPr>
          <w:rFonts w:ascii="Tahoma" w:hAnsi="Tahoma" w:cs="Tahoma"/>
        </w:rPr>
        <w:t xml:space="preserve"> cu </w:t>
      </w:r>
      <w:r w:rsidR="00BB25D7">
        <w:rPr>
          <w:rFonts w:ascii="Tahoma" w:hAnsi="Tahoma" w:cs="Tahoma"/>
        </w:rPr>
        <w:t>209</w:t>
      </w:r>
      <w:r w:rsidR="00F876F5">
        <w:rPr>
          <w:rFonts w:ascii="Tahoma" w:hAnsi="Tahoma" w:cs="Tahoma"/>
        </w:rPr>
        <w:t xml:space="preserve"> lei (+</w:t>
      </w:r>
      <w:r w:rsidR="00BB25D7">
        <w:rPr>
          <w:rFonts w:ascii="Tahoma" w:hAnsi="Tahoma" w:cs="Tahoma"/>
        </w:rPr>
        <w:t>6</w:t>
      </w:r>
      <w:r w:rsidR="00F876F5">
        <w:rPr>
          <w:rFonts w:ascii="Tahoma" w:hAnsi="Tahoma" w:cs="Tahoma"/>
        </w:rPr>
        <w:t>,</w:t>
      </w:r>
      <w:r w:rsidR="00BB25D7">
        <w:rPr>
          <w:rFonts w:ascii="Tahoma" w:hAnsi="Tahoma" w:cs="Tahoma"/>
        </w:rPr>
        <w:t>1</w:t>
      </w:r>
      <w:r>
        <w:rPr>
          <w:rFonts w:ascii="Tahoma" w:hAnsi="Tahoma" w:cs="Tahoma"/>
        </w:rPr>
        <w:t xml:space="preserve"> %)</w:t>
      </w:r>
      <w:r w:rsidRPr="00BE274E">
        <w:rPr>
          <w:rFonts w:ascii="Tahoma" w:hAnsi="Tahoma" w:cs="Tahoma"/>
        </w:rPr>
        <w:t>.</w:t>
      </w:r>
    </w:p>
    <w:p w:rsidR="008151C8" w:rsidRPr="00151075" w:rsidRDefault="00D32F29" w:rsidP="0048755C">
      <w:pPr>
        <w:jc w:val="center"/>
      </w:pPr>
      <w:r>
        <w:rPr>
          <w:noProof/>
          <w:lang w:val="en-US" w:eastAsia="en-US"/>
        </w:rPr>
        <w:drawing>
          <wp:inline distT="0" distB="0" distL="0" distR="0" wp14:anchorId="46EF93FD" wp14:editId="700D31F1">
            <wp:extent cx="5781676" cy="2486025"/>
            <wp:effectExtent l="0" t="0" r="0" b="0"/>
            <wp:docPr id="12" name="Diagramă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51C8" w:rsidRPr="00BE274E" w:rsidRDefault="008151C8" w:rsidP="00BE274E">
      <w:pPr>
        <w:spacing w:line="360" w:lineRule="auto"/>
        <w:jc w:val="both"/>
        <w:rPr>
          <w:rFonts w:ascii="Tahoma" w:hAnsi="Tahoma" w:cs="Tahoma"/>
        </w:rPr>
      </w:pPr>
      <w:r w:rsidRPr="00007558">
        <w:rPr>
          <w:sz w:val="28"/>
          <w:szCs w:val="28"/>
        </w:rPr>
        <w:tab/>
      </w:r>
      <w:r w:rsidRPr="00BE274E">
        <w:rPr>
          <w:rFonts w:ascii="Tahoma" w:hAnsi="Tahoma" w:cs="Tahoma"/>
        </w:rPr>
        <w:t xml:space="preserve">Câştiguri salariale </w:t>
      </w:r>
      <w:r>
        <w:rPr>
          <w:rFonts w:ascii="Tahoma" w:hAnsi="Tahoma" w:cs="Tahoma"/>
        </w:rPr>
        <w:t xml:space="preserve">nete </w:t>
      </w:r>
      <w:r w:rsidRPr="00BE274E">
        <w:rPr>
          <w:rFonts w:ascii="Tahoma" w:hAnsi="Tahoma" w:cs="Tahoma"/>
        </w:rPr>
        <w:t xml:space="preserve">peste media judeţului s-au înregistrat </w:t>
      </w:r>
      <w:r>
        <w:rPr>
          <w:rFonts w:ascii="Tahoma" w:hAnsi="Tahoma" w:cs="Tahoma"/>
        </w:rPr>
        <w:t>în</w:t>
      </w:r>
      <w:r w:rsidRPr="00BE274E">
        <w:rPr>
          <w:rFonts w:ascii="Tahoma" w:hAnsi="Tahoma" w:cs="Tahoma"/>
        </w:rPr>
        <w:t xml:space="preserve"> </w:t>
      </w:r>
      <w:r>
        <w:rPr>
          <w:rFonts w:ascii="Tahoma" w:hAnsi="Tahoma" w:cs="Tahoma"/>
        </w:rPr>
        <w:t>servicii</w:t>
      </w:r>
      <w:r w:rsidRPr="00BE274E">
        <w:rPr>
          <w:rFonts w:ascii="Tahoma" w:hAnsi="Tahoma" w:cs="Tahoma"/>
        </w:rPr>
        <w:t xml:space="preserve"> </w:t>
      </w:r>
      <w:r w:rsidR="00F876F5">
        <w:rPr>
          <w:rFonts w:ascii="Tahoma" w:hAnsi="Tahoma" w:cs="Tahoma"/>
        </w:rPr>
        <w:t>(2</w:t>
      </w:r>
      <w:r w:rsidR="00BB25D7">
        <w:rPr>
          <w:rFonts w:ascii="Tahoma" w:hAnsi="Tahoma" w:cs="Tahoma"/>
        </w:rPr>
        <w:t>9</w:t>
      </w:r>
      <w:r w:rsidR="00F876F5">
        <w:rPr>
          <w:rFonts w:ascii="Tahoma" w:hAnsi="Tahoma" w:cs="Tahoma"/>
        </w:rPr>
        <w:t>57</w:t>
      </w:r>
      <w:r>
        <w:rPr>
          <w:rFonts w:ascii="Tahoma" w:hAnsi="Tahoma" w:cs="Tahoma"/>
        </w:rPr>
        <w:t xml:space="preserve"> lei), sub media judeţului înregistrându-se</w:t>
      </w:r>
      <w:r w:rsidRPr="00C34482">
        <w:rPr>
          <w:rFonts w:ascii="Tahoma" w:hAnsi="Tahoma" w:cs="Tahoma"/>
        </w:rPr>
        <w:t xml:space="preserve"> </w:t>
      </w:r>
      <w:r w:rsidRPr="00BE274E">
        <w:rPr>
          <w:rFonts w:ascii="Tahoma" w:hAnsi="Tahoma" w:cs="Tahoma"/>
        </w:rPr>
        <w:t>î</w:t>
      </w:r>
      <w:r>
        <w:rPr>
          <w:rFonts w:ascii="Tahoma" w:hAnsi="Tahoma" w:cs="Tahoma"/>
        </w:rPr>
        <w:t xml:space="preserve">n </w:t>
      </w:r>
      <w:r w:rsidRPr="00BE274E">
        <w:rPr>
          <w:rFonts w:ascii="Tahoma" w:hAnsi="Tahoma" w:cs="Tahoma"/>
        </w:rPr>
        <w:t>agricultur</w:t>
      </w:r>
      <w:r w:rsidR="00F876F5">
        <w:rPr>
          <w:rFonts w:ascii="Tahoma" w:hAnsi="Tahoma" w:cs="Tahoma"/>
        </w:rPr>
        <w:t>ă, silvicultură şi pescuit (2</w:t>
      </w:r>
      <w:r w:rsidR="00BB25D7">
        <w:rPr>
          <w:rFonts w:ascii="Tahoma" w:hAnsi="Tahoma" w:cs="Tahoma"/>
        </w:rPr>
        <w:t>153</w:t>
      </w:r>
      <w:r w:rsidRPr="00BE274E">
        <w:rPr>
          <w:rFonts w:ascii="Tahoma" w:hAnsi="Tahoma" w:cs="Tahoma"/>
        </w:rPr>
        <w:t xml:space="preserve"> lei)</w:t>
      </w:r>
      <w:r>
        <w:rPr>
          <w:rFonts w:ascii="Tahoma" w:hAnsi="Tahoma" w:cs="Tahoma"/>
        </w:rPr>
        <w:t xml:space="preserve"> şi î</w:t>
      </w:r>
      <w:r w:rsidR="00B05961">
        <w:rPr>
          <w:rFonts w:ascii="Tahoma" w:hAnsi="Tahoma" w:cs="Tahoma"/>
        </w:rPr>
        <w:t xml:space="preserve">n industrie şi construcţii </w:t>
      </w:r>
      <w:r w:rsidR="00F876F5">
        <w:rPr>
          <w:rFonts w:ascii="Tahoma" w:hAnsi="Tahoma" w:cs="Tahoma"/>
        </w:rPr>
        <w:t>(2</w:t>
      </w:r>
      <w:r w:rsidR="00BB25D7">
        <w:rPr>
          <w:rFonts w:ascii="Tahoma" w:hAnsi="Tahoma" w:cs="Tahoma"/>
        </w:rPr>
        <w:t>669</w:t>
      </w:r>
      <w:r w:rsidRPr="00BE274E">
        <w:rPr>
          <w:rFonts w:ascii="Tahoma" w:hAnsi="Tahoma" w:cs="Tahoma"/>
        </w:rPr>
        <w:t xml:space="preserve"> lei).</w:t>
      </w:r>
    </w:p>
    <w:p w:rsidR="008151C8" w:rsidRPr="00BE274E" w:rsidRDefault="008151C8" w:rsidP="00BE274E">
      <w:pPr>
        <w:spacing w:line="360" w:lineRule="auto"/>
        <w:jc w:val="both"/>
        <w:rPr>
          <w:rFonts w:ascii="Tahoma" w:hAnsi="Tahoma" w:cs="Tahoma"/>
        </w:rPr>
      </w:pPr>
      <w:r>
        <w:rPr>
          <w:rFonts w:ascii="Tahoma" w:hAnsi="Tahoma" w:cs="Tahoma"/>
        </w:rPr>
        <w:lastRenderedPageBreak/>
        <w:tab/>
        <w:t xml:space="preserve">Faţă de luna </w:t>
      </w:r>
      <w:r w:rsidR="00DA6F5C">
        <w:rPr>
          <w:rFonts w:ascii="Tahoma" w:hAnsi="Tahoma" w:cs="Tahoma"/>
        </w:rPr>
        <w:t>decembrie</w:t>
      </w:r>
      <w:r w:rsidR="00141C93">
        <w:rPr>
          <w:rFonts w:ascii="Tahoma" w:hAnsi="Tahoma" w:cs="Tahoma"/>
        </w:rPr>
        <w:t xml:space="preserve"> 2019</w:t>
      </w:r>
      <w:r w:rsidRPr="00BE274E">
        <w:rPr>
          <w:rFonts w:ascii="Tahoma" w:hAnsi="Tahoma" w:cs="Tahoma"/>
        </w:rPr>
        <w:t xml:space="preserve"> câştigul salarial m</w:t>
      </w:r>
      <w:r w:rsidR="00F0586F">
        <w:rPr>
          <w:rFonts w:ascii="Tahoma" w:hAnsi="Tahoma" w:cs="Tahoma"/>
        </w:rPr>
        <w:t>ediu nominal net a crescut</w:t>
      </w:r>
      <w:r w:rsidRPr="00BE274E">
        <w:rPr>
          <w:rFonts w:ascii="Tahoma" w:hAnsi="Tahoma" w:cs="Tahoma"/>
        </w:rPr>
        <w:t xml:space="preserve"> cu </w:t>
      </w:r>
      <w:r w:rsidR="00F876F5">
        <w:rPr>
          <w:rFonts w:ascii="Tahoma" w:hAnsi="Tahoma" w:cs="Tahoma"/>
        </w:rPr>
        <w:t>3</w:t>
      </w:r>
      <w:r w:rsidRPr="00BE274E">
        <w:rPr>
          <w:rFonts w:ascii="Tahoma" w:hAnsi="Tahoma" w:cs="Tahoma"/>
        </w:rPr>
        <w:t>,</w:t>
      </w:r>
      <w:r w:rsidR="00BB25D7">
        <w:rPr>
          <w:rFonts w:ascii="Tahoma" w:hAnsi="Tahoma" w:cs="Tahoma"/>
        </w:rPr>
        <w:t>86</w:t>
      </w:r>
      <w:r w:rsidRPr="00BE274E">
        <w:rPr>
          <w:rFonts w:ascii="Tahoma" w:hAnsi="Tahoma" w:cs="Tahoma"/>
        </w:rPr>
        <w:t xml:space="preserve"> %, indicele preţurilor de consum a </w:t>
      </w:r>
      <w:r w:rsidR="004453A6">
        <w:rPr>
          <w:rFonts w:ascii="Tahoma" w:hAnsi="Tahoma" w:cs="Tahoma"/>
        </w:rPr>
        <w:t>crescut în aceeaşi perioadă cu 2</w:t>
      </w:r>
      <w:r w:rsidRPr="00BE274E">
        <w:rPr>
          <w:rFonts w:ascii="Tahoma" w:hAnsi="Tahoma" w:cs="Tahoma"/>
        </w:rPr>
        <w:t>,</w:t>
      </w:r>
      <w:r w:rsidR="00BB25D7">
        <w:rPr>
          <w:rFonts w:ascii="Tahoma" w:hAnsi="Tahoma" w:cs="Tahoma"/>
        </w:rPr>
        <w:t>06</w:t>
      </w:r>
      <w:r w:rsidR="007204E3">
        <w:rPr>
          <w:rFonts w:ascii="Tahoma" w:hAnsi="Tahoma" w:cs="Tahoma"/>
        </w:rPr>
        <w:t xml:space="preserve"> %, rezultând o </w:t>
      </w:r>
      <w:r w:rsidR="00BB25D7">
        <w:rPr>
          <w:rFonts w:ascii="Tahoma" w:hAnsi="Tahoma" w:cs="Tahoma"/>
        </w:rPr>
        <w:t>creștere</w:t>
      </w:r>
      <w:r w:rsidRPr="00BE274E">
        <w:rPr>
          <w:rFonts w:ascii="Tahoma" w:hAnsi="Tahoma" w:cs="Tahoma"/>
        </w:rPr>
        <w:t xml:space="preserve"> a indicel</w:t>
      </w:r>
      <w:r>
        <w:rPr>
          <w:rFonts w:ascii="Tahoma" w:hAnsi="Tahoma" w:cs="Tahoma"/>
        </w:rPr>
        <w:t>ui câştigului salarial r</w:t>
      </w:r>
      <w:r w:rsidR="00CF0E0B">
        <w:rPr>
          <w:rFonts w:ascii="Tahoma" w:hAnsi="Tahoma" w:cs="Tahoma"/>
        </w:rPr>
        <w:t>eal c</w:t>
      </w:r>
      <w:r w:rsidR="00F876F5">
        <w:rPr>
          <w:rFonts w:ascii="Tahoma" w:hAnsi="Tahoma" w:cs="Tahoma"/>
        </w:rPr>
        <w:t xml:space="preserve">u </w:t>
      </w:r>
      <w:r w:rsidR="00BB25D7">
        <w:rPr>
          <w:rFonts w:ascii="Tahoma" w:hAnsi="Tahoma" w:cs="Tahoma"/>
        </w:rPr>
        <w:t>1</w:t>
      </w:r>
      <w:r w:rsidR="00F876F5">
        <w:rPr>
          <w:rFonts w:ascii="Tahoma" w:hAnsi="Tahoma" w:cs="Tahoma"/>
        </w:rPr>
        <w:t>,</w:t>
      </w:r>
      <w:r w:rsidR="00BB25D7">
        <w:rPr>
          <w:rFonts w:ascii="Tahoma" w:hAnsi="Tahoma" w:cs="Tahoma"/>
        </w:rPr>
        <w:t>76</w:t>
      </w:r>
      <w:r w:rsidRPr="00BE274E">
        <w:rPr>
          <w:rFonts w:ascii="Tahoma" w:hAnsi="Tahoma" w:cs="Tahoma"/>
        </w:rPr>
        <w:t xml:space="preserve"> %.</w:t>
      </w:r>
    </w:p>
    <w:p w:rsidR="008151C8" w:rsidRPr="00BE274E" w:rsidRDefault="008151C8" w:rsidP="00BE274E">
      <w:pPr>
        <w:spacing w:line="360" w:lineRule="auto"/>
        <w:jc w:val="both"/>
        <w:rPr>
          <w:rFonts w:ascii="Tahoma" w:hAnsi="Tahoma" w:cs="Tahoma"/>
        </w:rPr>
      </w:pPr>
      <w:r w:rsidRPr="00BE274E">
        <w:rPr>
          <w:rFonts w:ascii="Tahoma" w:hAnsi="Tahoma" w:cs="Tahoma"/>
        </w:rPr>
        <w:tab/>
        <w:t>Într-un clasament naţional al judeţelor României, judeţul Buzău ocupă</w:t>
      </w:r>
      <w:r w:rsidRPr="00BE274E">
        <w:rPr>
          <w:rFonts w:ascii="Tahoma" w:hAnsi="Tahoma" w:cs="Tahoma"/>
          <w:lang w:val="es-ES"/>
        </w:rPr>
        <w:t>:</w:t>
      </w:r>
    </w:p>
    <w:p w:rsidR="008151C8" w:rsidRPr="00BE274E" w:rsidRDefault="00CF0E0B" w:rsidP="00BE274E">
      <w:pPr>
        <w:spacing w:line="360" w:lineRule="auto"/>
        <w:jc w:val="both"/>
        <w:rPr>
          <w:rFonts w:ascii="Tahoma" w:hAnsi="Tahoma" w:cs="Tahoma"/>
        </w:rPr>
      </w:pPr>
      <w:r>
        <w:rPr>
          <w:rFonts w:ascii="Tahoma" w:hAnsi="Tahoma" w:cs="Tahoma"/>
        </w:rPr>
        <w:tab/>
        <w:t>- locul 3</w:t>
      </w:r>
      <w:r w:rsidR="00BB25D7">
        <w:rPr>
          <w:rFonts w:ascii="Tahoma" w:hAnsi="Tahoma" w:cs="Tahoma"/>
        </w:rPr>
        <w:t>6</w:t>
      </w:r>
      <w:r w:rsidR="008151C8" w:rsidRPr="00BE274E">
        <w:rPr>
          <w:rFonts w:ascii="Tahoma" w:hAnsi="Tahoma" w:cs="Tahoma"/>
        </w:rPr>
        <w:t xml:space="preserve"> după câştigul salarial mediu net</w:t>
      </w:r>
      <w:r w:rsidR="008151C8">
        <w:rPr>
          <w:rFonts w:ascii="Tahoma" w:hAnsi="Tahoma" w:cs="Tahoma"/>
        </w:rPr>
        <w:t>;</w:t>
      </w:r>
    </w:p>
    <w:p w:rsidR="008151C8" w:rsidRPr="00BE274E" w:rsidRDefault="004D2277" w:rsidP="00BE274E">
      <w:pPr>
        <w:spacing w:line="360" w:lineRule="auto"/>
        <w:jc w:val="both"/>
        <w:rPr>
          <w:rFonts w:ascii="Tahoma" w:hAnsi="Tahoma" w:cs="Tahoma"/>
        </w:rPr>
      </w:pPr>
      <w:r>
        <w:rPr>
          <w:rFonts w:ascii="Tahoma" w:hAnsi="Tahoma" w:cs="Tahoma"/>
        </w:rPr>
        <w:tab/>
        <w:t>- locul 41</w:t>
      </w:r>
      <w:r w:rsidR="008151C8" w:rsidRPr="00BE274E">
        <w:rPr>
          <w:rFonts w:ascii="Tahoma" w:hAnsi="Tahoma" w:cs="Tahoma"/>
        </w:rPr>
        <w:t xml:space="preserve"> după câştigul salarial mediu net în agricultură, silvicultură şi pescuit</w:t>
      </w:r>
      <w:r w:rsidR="008151C8">
        <w:rPr>
          <w:rFonts w:ascii="Tahoma" w:hAnsi="Tahoma" w:cs="Tahoma"/>
        </w:rPr>
        <w:t>;</w:t>
      </w:r>
    </w:p>
    <w:p w:rsidR="008151C8" w:rsidRPr="00BE274E" w:rsidRDefault="007204E3" w:rsidP="00BE274E">
      <w:pPr>
        <w:spacing w:line="360" w:lineRule="auto"/>
        <w:jc w:val="both"/>
        <w:rPr>
          <w:rFonts w:ascii="Tahoma" w:hAnsi="Tahoma" w:cs="Tahoma"/>
        </w:rPr>
      </w:pPr>
      <w:r>
        <w:rPr>
          <w:rFonts w:ascii="Tahoma" w:hAnsi="Tahoma" w:cs="Tahoma"/>
        </w:rPr>
        <w:tab/>
        <w:t>- locul 3</w:t>
      </w:r>
      <w:r w:rsidR="00BB25D7">
        <w:rPr>
          <w:rFonts w:ascii="Tahoma" w:hAnsi="Tahoma" w:cs="Tahoma"/>
        </w:rPr>
        <w:t>1</w:t>
      </w:r>
      <w:r w:rsidR="008151C8" w:rsidRPr="00BE274E">
        <w:rPr>
          <w:rFonts w:ascii="Tahoma" w:hAnsi="Tahoma" w:cs="Tahoma"/>
        </w:rPr>
        <w:t xml:space="preserve"> după câştigul salarial mediu net în industrie şi construcţii</w:t>
      </w:r>
      <w:r w:rsidR="008151C8">
        <w:rPr>
          <w:rFonts w:ascii="Tahoma" w:hAnsi="Tahoma" w:cs="Tahoma"/>
        </w:rPr>
        <w:t>;</w:t>
      </w:r>
    </w:p>
    <w:p w:rsidR="008151C8" w:rsidRDefault="007204E3" w:rsidP="00BE274E">
      <w:pPr>
        <w:spacing w:line="360" w:lineRule="auto"/>
        <w:jc w:val="both"/>
        <w:rPr>
          <w:rFonts w:ascii="Tahoma" w:hAnsi="Tahoma" w:cs="Tahoma"/>
        </w:rPr>
      </w:pPr>
      <w:r>
        <w:rPr>
          <w:rFonts w:ascii="Tahoma" w:hAnsi="Tahoma" w:cs="Tahoma"/>
        </w:rPr>
        <w:tab/>
        <w:t xml:space="preserve">- locul </w:t>
      </w:r>
      <w:r w:rsidR="00BB25D7">
        <w:rPr>
          <w:rFonts w:ascii="Tahoma" w:hAnsi="Tahoma" w:cs="Tahoma"/>
        </w:rPr>
        <w:t>29</w:t>
      </w:r>
      <w:r w:rsidR="008151C8" w:rsidRPr="00BE274E">
        <w:rPr>
          <w:rFonts w:ascii="Tahoma" w:hAnsi="Tahoma" w:cs="Tahoma"/>
        </w:rPr>
        <w:t xml:space="preserve"> după câştigul salarial</w:t>
      </w:r>
      <w:r w:rsidR="008151C8">
        <w:rPr>
          <w:rFonts w:ascii="Tahoma" w:hAnsi="Tahoma" w:cs="Tahoma"/>
        </w:rPr>
        <w:t xml:space="preserve"> mediu net în servicii</w:t>
      </w:r>
      <w:r w:rsidR="008151C8" w:rsidRPr="00BE274E">
        <w:rPr>
          <w:rFonts w:ascii="Tahoma" w:hAnsi="Tahoma" w:cs="Tahoma"/>
        </w:rPr>
        <w:t>.</w:t>
      </w:r>
    </w:p>
    <w:p w:rsidR="008151C8" w:rsidRPr="00BE274E" w:rsidRDefault="008151C8" w:rsidP="00BE274E">
      <w:pPr>
        <w:spacing w:line="360" w:lineRule="auto"/>
        <w:jc w:val="both"/>
        <w:rPr>
          <w:rFonts w:ascii="Tahoma" w:hAnsi="Tahoma" w:cs="Tahoma"/>
        </w:rPr>
      </w:pPr>
    </w:p>
    <w:p w:rsidR="008151C8" w:rsidRPr="00BE274E" w:rsidRDefault="008151C8" w:rsidP="00BE274E">
      <w:pPr>
        <w:spacing w:line="360" w:lineRule="auto"/>
        <w:rPr>
          <w:rFonts w:ascii="Tahoma" w:hAnsi="Tahoma" w:cs="Tahoma"/>
          <w:b/>
        </w:rPr>
      </w:pPr>
      <w:r w:rsidRPr="00BE274E">
        <w:rPr>
          <w:rFonts w:ascii="Tahoma" w:hAnsi="Tahoma" w:cs="Tahoma"/>
          <w:b/>
        </w:rPr>
        <w:tab/>
        <w:t xml:space="preserve">5. </w:t>
      </w:r>
      <w:r w:rsidRPr="00BE274E">
        <w:rPr>
          <w:rFonts w:ascii="Tahoma" w:hAnsi="Tahoma" w:cs="Tahoma"/>
          <w:b/>
          <w:u w:val="single"/>
        </w:rPr>
        <w:t>NUMĂRUL ŞOMERILOR ŞI RATA ŞOMAJULUI</w:t>
      </w:r>
    </w:p>
    <w:p w:rsidR="008151C8" w:rsidRPr="00BE274E" w:rsidRDefault="008151C8" w:rsidP="00BE274E">
      <w:pPr>
        <w:spacing w:line="360" w:lineRule="auto"/>
        <w:rPr>
          <w:rFonts w:ascii="Tahoma" w:hAnsi="Tahoma" w:cs="Tahoma"/>
        </w:rPr>
      </w:pPr>
    </w:p>
    <w:p w:rsidR="008151C8" w:rsidRPr="00BE274E" w:rsidRDefault="008151C8" w:rsidP="00BE274E">
      <w:pPr>
        <w:spacing w:line="360" w:lineRule="auto"/>
        <w:jc w:val="both"/>
        <w:rPr>
          <w:rFonts w:ascii="Tahoma" w:hAnsi="Tahoma" w:cs="Tahoma"/>
        </w:rPr>
      </w:pPr>
      <w:r w:rsidRPr="00BE274E">
        <w:rPr>
          <w:rFonts w:ascii="Tahoma" w:hAnsi="Tahoma" w:cs="Tahoma"/>
        </w:rPr>
        <w:tab/>
        <w:t>Numărul şomerilor înregistraţi în evidenţele Agenţiei Judeţene de Ocuparea For</w:t>
      </w:r>
      <w:r>
        <w:rPr>
          <w:rFonts w:ascii="Tahoma" w:hAnsi="Tahoma" w:cs="Tahoma"/>
        </w:rPr>
        <w:t>ţei de Muncă B</w:t>
      </w:r>
      <w:r w:rsidR="00F876F5">
        <w:rPr>
          <w:rFonts w:ascii="Tahoma" w:hAnsi="Tahoma" w:cs="Tahoma"/>
        </w:rPr>
        <w:t>uzău la data de 3</w:t>
      </w:r>
      <w:r w:rsidR="00BB25D7">
        <w:rPr>
          <w:rFonts w:ascii="Tahoma" w:hAnsi="Tahoma" w:cs="Tahoma"/>
        </w:rPr>
        <w:t>1</w:t>
      </w:r>
      <w:r w:rsidR="00F876F5">
        <w:rPr>
          <w:rFonts w:ascii="Tahoma" w:hAnsi="Tahoma" w:cs="Tahoma"/>
        </w:rPr>
        <w:t>.1</w:t>
      </w:r>
      <w:r w:rsidR="00BB25D7">
        <w:rPr>
          <w:rFonts w:ascii="Tahoma" w:hAnsi="Tahoma" w:cs="Tahoma"/>
        </w:rPr>
        <w:t>2</w:t>
      </w:r>
      <w:r w:rsidR="00141C93">
        <w:rPr>
          <w:rFonts w:ascii="Tahoma" w:hAnsi="Tahoma" w:cs="Tahoma"/>
        </w:rPr>
        <w:t>.2020</w:t>
      </w:r>
      <w:r w:rsidR="00F876F5">
        <w:rPr>
          <w:rFonts w:ascii="Tahoma" w:hAnsi="Tahoma" w:cs="Tahoma"/>
        </w:rPr>
        <w:t xml:space="preserve"> a fost de 1</w:t>
      </w:r>
      <w:r w:rsidR="00BB25D7">
        <w:rPr>
          <w:rFonts w:ascii="Tahoma" w:hAnsi="Tahoma" w:cs="Tahoma"/>
        </w:rPr>
        <w:t>346</w:t>
      </w:r>
      <w:r w:rsidR="00F876F5">
        <w:rPr>
          <w:rFonts w:ascii="Tahoma" w:hAnsi="Tahoma" w:cs="Tahoma"/>
        </w:rPr>
        <w:t>8</w:t>
      </w:r>
      <w:r w:rsidR="00B05961">
        <w:rPr>
          <w:rFonts w:ascii="Tahoma" w:hAnsi="Tahoma" w:cs="Tahoma"/>
        </w:rPr>
        <w:t xml:space="preserve"> persoane, din c</w:t>
      </w:r>
      <w:r w:rsidR="00F876F5">
        <w:rPr>
          <w:rFonts w:ascii="Tahoma" w:hAnsi="Tahoma" w:cs="Tahoma"/>
        </w:rPr>
        <w:t>are 5</w:t>
      </w:r>
      <w:r w:rsidR="00BB25D7">
        <w:rPr>
          <w:rFonts w:ascii="Tahoma" w:hAnsi="Tahoma" w:cs="Tahoma"/>
        </w:rPr>
        <w:t>529</w:t>
      </w:r>
      <w:r w:rsidR="00F876F5">
        <w:rPr>
          <w:rFonts w:ascii="Tahoma" w:hAnsi="Tahoma" w:cs="Tahoma"/>
        </w:rPr>
        <w:t xml:space="preserve"> (41</w:t>
      </w:r>
      <w:r w:rsidRPr="00BE274E">
        <w:rPr>
          <w:rFonts w:ascii="Tahoma" w:hAnsi="Tahoma" w:cs="Tahoma"/>
        </w:rPr>
        <w:t>,</w:t>
      </w:r>
      <w:r w:rsidR="00BB25D7">
        <w:rPr>
          <w:rFonts w:ascii="Tahoma" w:hAnsi="Tahoma" w:cs="Tahoma"/>
        </w:rPr>
        <w:t>1</w:t>
      </w:r>
      <w:r w:rsidRPr="00BE274E">
        <w:rPr>
          <w:rFonts w:ascii="Tahoma" w:hAnsi="Tahoma" w:cs="Tahoma"/>
        </w:rPr>
        <w:t xml:space="preserve"> %) femei.</w:t>
      </w:r>
    </w:p>
    <w:p w:rsidR="008151C8" w:rsidRDefault="008151C8" w:rsidP="009707DF">
      <w:pPr>
        <w:spacing w:line="360" w:lineRule="auto"/>
        <w:jc w:val="both"/>
        <w:rPr>
          <w:rFonts w:ascii="Tahoma" w:hAnsi="Tahoma" w:cs="Tahoma"/>
        </w:rPr>
      </w:pPr>
      <w:r w:rsidRPr="00BE274E">
        <w:rPr>
          <w:rFonts w:ascii="Tahoma" w:hAnsi="Tahoma" w:cs="Tahoma"/>
        </w:rPr>
        <w:tab/>
        <w:t>Rata şomajului înreg</w:t>
      </w:r>
      <w:r>
        <w:rPr>
          <w:rFonts w:ascii="Tahoma" w:hAnsi="Tahoma" w:cs="Tahoma"/>
        </w:rPr>
        <w:t>istrat</w:t>
      </w:r>
      <w:r w:rsidRPr="00BE274E">
        <w:rPr>
          <w:rFonts w:ascii="Tahoma" w:hAnsi="Tahoma" w:cs="Tahoma"/>
        </w:rPr>
        <w:t xml:space="preserve"> la s</w:t>
      </w:r>
      <w:r>
        <w:rPr>
          <w:rFonts w:ascii="Tahoma" w:hAnsi="Tahoma" w:cs="Tahoma"/>
        </w:rPr>
        <w:t xml:space="preserve">fârşitul lunii </w:t>
      </w:r>
      <w:r w:rsidR="00DA6F5C">
        <w:rPr>
          <w:rFonts w:ascii="Tahoma" w:hAnsi="Tahoma" w:cs="Tahoma"/>
        </w:rPr>
        <w:t>decembrie</w:t>
      </w:r>
      <w:r w:rsidR="00D45A89">
        <w:rPr>
          <w:rFonts w:ascii="Tahoma" w:hAnsi="Tahoma" w:cs="Tahoma"/>
        </w:rPr>
        <w:t xml:space="preserve"> 2020</w:t>
      </w:r>
      <w:r w:rsidR="00F876F5">
        <w:rPr>
          <w:rFonts w:ascii="Tahoma" w:hAnsi="Tahoma" w:cs="Tahoma"/>
        </w:rPr>
        <w:t xml:space="preserve"> a fost de 7,</w:t>
      </w:r>
      <w:r w:rsidR="00BB25D7">
        <w:rPr>
          <w:rFonts w:ascii="Tahoma" w:hAnsi="Tahoma" w:cs="Tahoma"/>
        </w:rPr>
        <w:t>8</w:t>
      </w:r>
      <w:r w:rsidR="00F2338B">
        <w:rPr>
          <w:rFonts w:ascii="Tahoma" w:hAnsi="Tahoma" w:cs="Tahoma"/>
        </w:rPr>
        <w:t xml:space="preserve"> %</w:t>
      </w:r>
      <w:r>
        <w:rPr>
          <w:rFonts w:ascii="Tahoma" w:hAnsi="Tahoma" w:cs="Tahoma"/>
        </w:rPr>
        <w:t xml:space="preserve">. </w:t>
      </w:r>
    </w:p>
    <w:p w:rsidR="008151C8" w:rsidRPr="00BE274E" w:rsidRDefault="008151C8" w:rsidP="0069278D">
      <w:pPr>
        <w:spacing w:line="360" w:lineRule="auto"/>
        <w:ind w:firstLine="708"/>
        <w:jc w:val="both"/>
        <w:rPr>
          <w:rFonts w:ascii="Tahoma" w:hAnsi="Tahoma" w:cs="Tahoma"/>
        </w:rPr>
      </w:pPr>
      <w:r>
        <w:rPr>
          <w:rFonts w:ascii="Tahoma" w:hAnsi="Tahoma" w:cs="Tahoma"/>
        </w:rPr>
        <w:t xml:space="preserve">Rata </w:t>
      </w:r>
      <w:r w:rsidRPr="00BE274E">
        <w:rPr>
          <w:rFonts w:ascii="Tahoma" w:hAnsi="Tahoma" w:cs="Tahoma"/>
        </w:rPr>
        <w:t xml:space="preserve">şomajului </w:t>
      </w:r>
      <w:r>
        <w:rPr>
          <w:rFonts w:ascii="Tahoma" w:hAnsi="Tahoma" w:cs="Tahoma"/>
        </w:rPr>
        <w:t xml:space="preserve">pentru femei, la sfârşitul lunii </w:t>
      </w:r>
      <w:r w:rsidR="00DA6F5C">
        <w:rPr>
          <w:rFonts w:ascii="Tahoma" w:hAnsi="Tahoma" w:cs="Tahoma"/>
        </w:rPr>
        <w:t>decembrie</w:t>
      </w:r>
      <w:r w:rsidR="00D45A89">
        <w:rPr>
          <w:rFonts w:ascii="Tahoma" w:hAnsi="Tahoma" w:cs="Tahoma"/>
        </w:rPr>
        <w:t xml:space="preserve"> 2020</w:t>
      </w:r>
      <w:r w:rsidR="00F876F5">
        <w:rPr>
          <w:rFonts w:ascii="Tahoma" w:hAnsi="Tahoma" w:cs="Tahoma"/>
        </w:rPr>
        <w:t>, a fost cu 1,</w:t>
      </w:r>
      <w:r w:rsidR="00BB25D7">
        <w:rPr>
          <w:rFonts w:ascii="Tahoma" w:hAnsi="Tahoma" w:cs="Tahoma"/>
        </w:rPr>
        <w:t>8</w:t>
      </w:r>
      <w:r>
        <w:rPr>
          <w:rFonts w:ascii="Tahoma" w:hAnsi="Tahoma" w:cs="Tahoma"/>
        </w:rPr>
        <w:t xml:space="preserve"> puncte procentuale mai mică decât cea </w:t>
      </w:r>
      <w:r w:rsidR="00F876F5">
        <w:rPr>
          <w:rFonts w:ascii="Tahoma" w:hAnsi="Tahoma" w:cs="Tahoma"/>
        </w:rPr>
        <w:t>înregistrată pentru bărbaţi (6,</w:t>
      </w:r>
      <w:r w:rsidR="00BB25D7">
        <w:rPr>
          <w:rFonts w:ascii="Tahoma" w:hAnsi="Tahoma" w:cs="Tahoma"/>
        </w:rPr>
        <w:t>9</w:t>
      </w:r>
      <w:r w:rsidR="00B05961">
        <w:rPr>
          <w:rFonts w:ascii="Tahoma" w:hAnsi="Tahoma" w:cs="Tahoma"/>
        </w:rPr>
        <w:t xml:space="preserve"> % </w:t>
      </w:r>
      <w:r w:rsidR="00F876F5">
        <w:rPr>
          <w:rFonts w:ascii="Tahoma" w:hAnsi="Tahoma" w:cs="Tahoma"/>
        </w:rPr>
        <w:t xml:space="preserve">faţă de </w:t>
      </w:r>
      <w:r w:rsidR="00BB25D7">
        <w:rPr>
          <w:rFonts w:ascii="Tahoma" w:hAnsi="Tahoma" w:cs="Tahoma"/>
        </w:rPr>
        <w:t>8</w:t>
      </w:r>
      <w:r w:rsidR="00F876F5">
        <w:rPr>
          <w:rFonts w:ascii="Tahoma" w:hAnsi="Tahoma" w:cs="Tahoma"/>
        </w:rPr>
        <w:t>,</w:t>
      </w:r>
      <w:r w:rsidR="00BB25D7">
        <w:rPr>
          <w:rFonts w:ascii="Tahoma" w:hAnsi="Tahoma" w:cs="Tahoma"/>
        </w:rPr>
        <w:t>7</w:t>
      </w:r>
      <w:r>
        <w:rPr>
          <w:rFonts w:ascii="Tahoma" w:hAnsi="Tahoma" w:cs="Tahoma"/>
        </w:rPr>
        <w:t xml:space="preserve"> %).</w:t>
      </w:r>
    </w:p>
    <w:p w:rsidR="008151C8" w:rsidRPr="00151075" w:rsidRDefault="00D32F29" w:rsidP="000A7AC4">
      <w:pPr>
        <w:spacing w:line="360" w:lineRule="auto"/>
        <w:jc w:val="center"/>
        <w:rPr>
          <w:sz w:val="28"/>
          <w:szCs w:val="28"/>
        </w:rPr>
      </w:pPr>
      <w:r>
        <w:rPr>
          <w:noProof/>
          <w:lang w:val="en-US" w:eastAsia="en-US"/>
        </w:rPr>
        <w:drawing>
          <wp:inline distT="0" distB="0" distL="0" distR="0" wp14:anchorId="38245413" wp14:editId="64BA3BFC">
            <wp:extent cx="6400800" cy="3876675"/>
            <wp:effectExtent l="0" t="0" r="0" b="0"/>
            <wp:docPr id="13" name="Diagramă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6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51C8" w:rsidRDefault="008151C8" w:rsidP="001063D8">
      <w:pPr>
        <w:spacing w:line="360" w:lineRule="auto"/>
        <w:ind w:firstLine="708"/>
        <w:jc w:val="both"/>
        <w:rPr>
          <w:rFonts w:ascii="Tahoma" w:hAnsi="Tahoma" w:cs="Tahoma"/>
        </w:rPr>
      </w:pPr>
      <w:r w:rsidRPr="00BE274E">
        <w:rPr>
          <w:rFonts w:ascii="Tahoma" w:hAnsi="Tahoma" w:cs="Tahoma"/>
        </w:rPr>
        <w:t>La nivelul ţării r</w:t>
      </w:r>
      <w:r>
        <w:rPr>
          <w:rFonts w:ascii="Tahoma" w:hAnsi="Tahoma" w:cs="Tahoma"/>
        </w:rPr>
        <w:t>ata şomajului înregistrat</w:t>
      </w:r>
      <w:r w:rsidRPr="00BE274E">
        <w:rPr>
          <w:rFonts w:ascii="Tahoma" w:hAnsi="Tahoma" w:cs="Tahoma"/>
        </w:rPr>
        <w:t xml:space="preserve"> la </w:t>
      </w:r>
      <w:r w:rsidR="00F876F5">
        <w:rPr>
          <w:rFonts w:ascii="Tahoma" w:hAnsi="Tahoma" w:cs="Tahoma"/>
        </w:rPr>
        <w:t>3</w:t>
      </w:r>
      <w:r w:rsidR="00BB25D7">
        <w:rPr>
          <w:rFonts w:ascii="Tahoma" w:hAnsi="Tahoma" w:cs="Tahoma"/>
        </w:rPr>
        <w:t>1</w:t>
      </w:r>
      <w:r w:rsidR="00F876F5">
        <w:rPr>
          <w:rFonts w:ascii="Tahoma" w:hAnsi="Tahoma" w:cs="Tahoma"/>
        </w:rPr>
        <w:t>.1</w:t>
      </w:r>
      <w:r w:rsidR="00BB25D7">
        <w:rPr>
          <w:rFonts w:ascii="Tahoma" w:hAnsi="Tahoma" w:cs="Tahoma"/>
        </w:rPr>
        <w:t>2</w:t>
      </w:r>
      <w:r w:rsidR="00141C93">
        <w:rPr>
          <w:rFonts w:ascii="Tahoma" w:hAnsi="Tahoma" w:cs="Tahoma"/>
        </w:rPr>
        <w:t>.2020</w:t>
      </w:r>
      <w:r w:rsidR="00F0586F">
        <w:rPr>
          <w:rFonts w:ascii="Tahoma" w:hAnsi="Tahoma" w:cs="Tahoma"/>
        </w:rPr>
        <w:t xml:space="preserve"> a fost de 3,</w:t>
      </w:r>
      <w:r w:rsidR="00BB25D7">
        <w:rPr>
          <w:rFonts w:ascii="Tahoma" w:hAnsi="Tahoma" w:cs="Tahoma"/>
        </w:rPr>
        <w:t>4</w:t>
      </w:r>
      <w:r w:rsidRPr="00BE274E">
        <w:rPr>
          <w:rFonts w:ascii="Tahoma" w:hAnsi="Tahoma" w:cs="Tahoma"/>
        </w:rPr>
        <w:t xml:space="preserve"> %.</w:t>
      </w:r>
    </w:p>
    <w:p w:rsidR="001A74EF" w:rsidRDefault="008151C8" w:rsidP="000703D6">
      <w:pPr>
        <w:spacing w:line="360" w:lineRule="auto"/>
        <w:jc w:val="both"/>
        <w:rPr>
          <w:rFonts w:ascii="Tahoma" w:hAnsi="Tahoma" w:cs="Tahoma"/>
          <w:b/>
        </w:rPr>
      </w:pPr>
      <w:r w:rsidRPr="00BE274E">
        <w:rPr>
          <w:rFonts w:ascii="Tahoma" w:hAnsi="Tahoma" w:cs="Tahoma"/>
          <w:b/>
        </w:rPr>
        <w:tab/>
      </w:r>
    </w:p>
    <w:p w:rsidR="008151C8" w:rsidRPr="00BE274E" w:rsidRDefault="008151C8" w:rsidP="000703D6">
      <w:pPr>
        <w:spacing w:line="360" w:lineRule="auto"/>
        <w:jc w:val="both"/>
        <w:rPr>
          <w:rFonts w:ascii="Tahoma" w:hAnsi="Tahoma" w:cs="Tahoma"/>
          <w:b/>
        </w:rPr>
      </w:pPr>
      <w:r w:rsidRPr="00BE274E">
        <w:rPr>
          <w:rFonts w:ascii="Tahoma" w:hAnsi="Tahoma" w:cs="Tahoma"/>
          <w:b/>
        </w:rPr>
        <w:t xml:space="preserve">6. </w:t>
      </w:r>
      <w:r w:rsidRPr="00BE274E">
        <w:rPr>
          <w:rFonts w:ascii="Tahoma" w:hAnsi="Tahoma" w:cs="Tahoma"/>
          <w:b/>
          <w:u w:val="single"/>
        </w:rPr>
        <w:t>INDICATORI DEMOGRAFICI</w:t>
      </w:r>
    </w:p>
    <w:p w:rsidR="008151C8" w:rsidRDefault="008151C8" w:rsidP="00BE274E">
      <w:pPr>
        <w:spacing w:line="360" w:lineRule="auto"/>
        <w:jc w:val="both"/>
        <w:rPr>
          <w:rFonts w:ascii="Tahoma" w:hAnsi="Tahoma" w:cs="Tahoma"/>
        </w:rPr>
      </w:pPr>
      <w:r>
        <w:rPr>
          <w:rFonts w:ascii="Tahoma" w:hAnsi="Tahoma" w:cs="Tahoma"/>
        </w:rPr>
        <w:tab/>
        <w:t xml:space="preserve">În luna </w:t>
      </w:r>
      <w:r w:rsidR="00DA6F5C">
        <w:rPr>
          <w:rFonts w:ascii="Tahoma" w:hAnsi="Tahoma" w:cs="Tahoma"/>
        </w:rPr>
        <w:t>decembrie</w:t>
      </w:r>
      <w:r w:rsidR="00D45A89">
        <w:rPr>
          <w:rFonts w:ascii="Tahoma" w:hAnsi="Tahoma" w:cs="Tahoma"/>
        </w:rPr>
        <w:t xml:space="preserve"> 2020</w:t>
      </w:r>
      <w:r w:rsidRPr="00BE274E">
        <w:rPr>
          <w:rFonts w:ascii="Tahoma" w:hAnsi="Tahoma" w:cs="Tahoma"/>
        </w:rPr>
        <w:t xml:space="preserve"> </w:t>
      </w:r>
      <w:r w:rsidR="00F876F5">
        <w:rPr>
          <w:rFonts w:ascii="Tahoma" w:hAnsi="Tahoma" w:cs="Tahoma"/>
        </w:rPr>
        <w:t>în judeţul Buzău s-au născut 2</w:t>
      </w:r>
      <w:r w:rsidR="00BB25D7">
        <w:rPr>
          <w:rFonts w:ascii="Tahoma" w:hAnsi="Tahoma" w:cs="Tahoma"/>
        </w:rPr>
        <w:t>79</w:t>
      </w:r>
      <w:r w:rsidR="004453A6">
        <w:rPr>
          <w:rFonts w:ascii="Tahoma" w:hAnsi="Tahoma" w:cs="Tahoma"/>
        </w:rPr>
        <w:t xml:space="preserve"> </w:t>
      </w:r>
      <w:r w:rsidR="00F876F5">
        <w:rPr>
          <w:rFonts w:ascii="Tahoma" w:hAnsi="Tahoma" w:cs="Tahoma"/>
        </w:rPr>
        <w:t xml:space="preserve">copii, mai </w:t>
      </w:r>
      <w:r w:rsidR="00BB25D7">
        <w:rPr>
          <w:rFonts w:ascii="Tahoma" w:hAnsi="Tahoma" w:cs="Tahoma"/>
        </w:rPr>
        <w:t>m</w:t>
      </w:r>
      <w:r w:rsidR="007204E3">
        <w:rPr>
          <w:rFonts w:ascii="Tahoma" w:hAnsi="Tahoma" w:cs="Tahoma"/>
        </w:rPr>
        <w:t>u</w:t>
      </w:r>
      <w:r w:rsidR="00BB25D7">
        <w:rPr>
          <w:rFonts w:ascii="Tahoma" w:hAnsi="Tahoma" w:cs="Tahoma"/>
        </w:rPr>
        <w:t>l</w:t>
      </w:r>
      <w:r w:rsidR="007204E3">
        <w:rPr>
          <w:rFonts w:ascii="Tahoma" w:hAnsi="Tahoma" w:cs="Tahoma"/>
        </w:rPr>
        <w:t>ţi</w:t>
      </w:r>
      <w:r w:rsidR="00F876F5">
        <w:rPr>
          <w:rFonts w:ascii="Tahoma" w:hAnsi="Tahoma" w:cs="Tahoma"/>
        </w:rPr>
        <w:t xml:space="preserve"> cu </w:t>
      </w:r>
      <w:r w:rsidR="00BB25D7">
        <w:rPr>
          <w:rFonts w:ascii="Tahoma" w:hAnsi="Tahoma" w:cs="Tahoma"/>
        </w:rPr>
        <w:t>31</w:t>
      </w:r>
      <w:r>
        <w:rPr>
          <w:rFonts w:ascii="Tahoma" w:hAnsi="Tahoma" w:cs="Tahoma"/>
        </w:rPr>
        <w:t xml:space="preserve"> </w:t>
      </w:r>
      <w:r w:rsidR="00141C93">
        <w:rPr>
          <w:rFonts w:ascii="Tahoma" w:hAnsi="Tahoma" w:cs="Tahoma"/>
        </w:rPr>
        <w:t>faţă</w:t>
      </w:r>
      <w:r w:rsidR="004453A6">
        <w:rPr>
          <w:rFonts w:ascii="Tahoma" w:hAnsi="Tahoma" w:cs="Tahoma"/>
        </w:rPr>
        <w:t xml:space="preserve"> de luna precedentă</w:t>
      </w:r>
      <w:r w:rsidRPr="00BE274E">
        <w:rPr>
          <w:rFonts w:ascii="Tahoma" w:hAnsi="Tahoma" w:cs="Tahoma"/>
        </w:rPr>
        <w:t>.</w:t>
      </w:r>
    </w:p>
    <w:p w:rsidR="008151C8" w:rsidRDefault="008151C8" w:rsidP="00BE274E">
      <w:pPr>
        <w:spacing w:line="360" w:lineRule="auto"/>
        <w:jc w:val="both"/>
        <w:rPr>
          <w:rFonts w:ascii="Tahoma" w:hAnsi="Tahoma" w:cs="Tahoma"/>
        </w:rPr>
      </w:pPr>
      <w:r>
        <w:rPr>
          <w:rFonts w:ascii="Tahoma" w:hAnsi="Tahoma" w:cs="Tahoma"/>
        </w:rPr>
        <w:lastRenderedPageBreak/>
        <w:tab/>
      </w:r>
      <w:r w:rsidRPr="00BE274E">
        <w:rPr>
          <w:rFonts w:ascii="Tahoma" w:hAnsi="Tahoma" w:cs="Tahoma"/>
        </w:rPr>
        <w:t>Numărul căsătoriilor încheiate la oficiile de stare c</w:t>
      </w:r>
      <w:r>
        <w:rPr>
          <w:rFonts w:ascii="Tahoma" w:hAnsi="Tahoma" w:cs="Tahoma"/>
        </w:rPr>
        <w:t xml:space="preserve">ivilă din judeţul Buzău în </w:t>
      </w:r>
      <w:r w:rsidR="00DA6F5C">
        <w:rPr>
          <w:rFonts w:ascii="Tahoma" w:hAnsi="Tahoma" w:cs="Tahoma"/>
        </w:rPr>
        <w:t>decembrie</w:t>
      </w:r>
      <w:r w:rsidR="00D45A89">
        <w:rPr>
          <w:rFonts w:ascii="Tahoma" w:hAnsi="Tahoma" w:cs="Tahoma"/>
        </w:rPr>
        <w:t xml:space="preserve"> 2020</w:t>
      </w:r>
      <w:r w:rsidR="00141C93">
        <w:rPr>
          <w:rFonts w:ascii="Tahoma" w:hAnsi="Tahoma" w:cs="Tahoma"/>
        </w:rPr>
        <w:t xml:space="preserve"> a fost de</w:t>
      </w:r>
      <w:r w:rsidR="00F876F5">
        <w:rPr>
          <w:rFonts w:ascii="Tahoma" w:hAnsi="Tahoma" w:cs="Tahoma"/>
        </w:rPr>
        <w:t xml:space="preserve"> </w:t>
      </w:r>
      <w:r w:rsidR="001F56B6">
        <w:rPr>
          <w:rFonts w:ascii="Tahoma" w:hAnsi="Tahoma" w:cs="Tahoma"/>
        </w:rPr>
        <w:t>53</w:t>
      </w:r>
      <w:r w:rsidR="00F876F5">
        <w:rPr>
          <w:rFonts w:ascii="Tahoma" w:hAnsi="Tahoma" w:cs="Tahoma"/>
        </w:rPr>
        <w:t xml:space="preserve">, mai puţine cu </w:t>
      </w:r>
      <w:r w:rsidR="001F56B6">
        <w:rPr>
          <w:rFonts w:ascii="Tahoma" w:hAnsi="Tahoma" w:cs="Tahoma"/>
        </w:rPr>
        <w:t>3</w:t>
      </w:r>
      <w:r w:rsidR="00F876F5">
        <w:rPr>
          <w:rFonts w:ascii="Tahoma" w:hAnsi="Tahoma" w:cs="Tahoma"/>
        </w:rPr>
        <w:t>4</w:t>
      </w:r>
      <w:r w:rsidR="00394B10">
        <w:rPr>
          <w:rFonts w:ascii="Tahoma" w:hAnsi="Tahoma" w:cs="Tahoma"/>
        </w:rPr>
        <w:t xml:space="preserve"> faţă de luna </w:t>
      </w:r>
      <w:r w:rsidR="001F56B6">
        <w:rPr>
          <w:rFonts w:ascii="Tahoma" w:hAnsi="Tahoma" w:cs="Tahoma"/>
        </w:rPr>
        <w:t>noie</w:t>
      </w:r>
      <w:r w:rsidR="007204E3">
        <w:rPr>
          <w:rFonts w:ascii="Tahoma" w:hAnsi="Tahoma" w:cs="Tahoma"/>
        </w:rPr>
        <w:t>mbrie</w:t>
      </w:r>
      <w:r w:rsidR="00443B95">
        <w:rPr>
          <w:rFonts w:ascii="Tahoma" w:hAnsi="Tahoma" w:cs="Tahoma"/>
        </w:rPr>
        <w:t xml:space="preserve"> 2020</w:t>
      </w:r>
      <w:r>
        <w:rPr>
          <w:rFonts w:ascii="Tahoma" w:hAnsi="Tahoma" w:cs="Tahoma"/>
        </w:rPr>
        <w:t>, iar numărul divorţurilor pronunţate î</w:t>
      </w:r>
      <w:r w:rsidRPr="00BE274E">
        <w:rPr>
          <w:rFonts w:ascii="Tahoma" w:hAnsi="Tahoma" w:cs="Tahoma"/>
        </w:rPr>
        <w:t xml:space="preserve">n </w:t>
      </w:r>
      <w:r w:rsidR="00443B95">
        <w:rPr>
          <w:rFonts w:ascii="Tahoma" w:hAnsi="Tahoma" w:cs="Tahoma"/>
        </w:rPr>
        <w:t xml:space="preserve">luna </w:t>
      </w:r>
      <w:r w:rsidR="00DA6F5C">
        <w:rPr>
          <w:rFonts w:ascii="Tahoma" w:hAnsi="Tahoma" w:cs="Tahoma"/>
        </w:rPr>
        <w:t>decembrie</w:t>
      </w:r>
      <w:r w:rsidR="00D45A89">
        <w:rPr>
          <w:rFonts w:ascii="Tahoma" w:hAnsi="Tahoma" w:cs="Tahoma"/>
        </w:rPr>
        <w:t xml:space="preserve"> 2020</w:t>
      </w:r>
      <w:r w:rsidR="004453A6">
        <w:rPr>
          <w:rFonts w:ascii="Tahoma" w:hAnsi="Tahoma" w:cs="Tahoma"/>
        </w:rPr>
        <w:t xml:space="preserve"> </w:t>
      </w:r>
      <w:r w:rsidR="00F876F5">
        <w:rPr>
          <w:rFonts w:ascii="Tahoma" w:hAnsi="Tahoma" w:cs="Tahoma"/>
        </w:rPr>
        <w:t>a fost de 3</w:t>
      </w:r>
      <w:r w:rsidR="001F56B6">
        <w:rPr>
          <w:rFonts w:ascii="Tahoma" w:hAnsi="Tahoma" w:cs="Tahoma"/>
        </w:rPr>
        <w:t>5</w:t>
      </w:r>
      <w:r w:rsidR="00F0586F">
        <w:rPr>
          <w:rFonts w:ascii="Tahoma" w:hAnsi="Tahoma" w:cs="Tahoma"/>
        </w:rPr>
        <w:t>.</w:t>
      </w:r>
    </w:p>
    <w:tbl>
      <w:tblPr>
        <w:tblW w:w="0" w:type="auto"/>
        <w:tblLook w:val="00A0" w:firstRow="1" w:lastRow="0" w:firstColumn="1" w:lastColumn="0" w:noHBand="0" w:noVBand="0"/>
      </w:tblPr>
      <w:tblGrid>
        <w:gridCol w:w="10421"/>
      </w:tblGrid>
      <w:tr w:rsidR="008151C8" w:rsidRPr="004133FB" w:rsidTr="00D32F29">
        <w:trPr>
          <w:trHeight w:val="290"/>
        </w:trPr>
        <w:tc>
          <w:tcPr>
            <w:tcW w:w="10189" w:type="dxa"/>
            <w:vMerge w:val="restart"/>
          </w:tcPr>
          <w:p w:rsidR="001F56B6" w:rsidRDefault="00D32F29" w:rsidP="00EE62C3">
            <w:pPr>
              <w:spacing w:line="360" w:lineRule="auto"/>
              <w:jc w:val="both"/>
              <w:rPr>
                <w:rFonts w:ascii="Tahoma" w:hAnsi="Tahoma" w:cs="Tahoma"/>
                <w:vertAlign w:val="superscript"/>
              </w:rPr>
            </w:pPr>
            <w:r>
              <w:rPr>
                <w:noProof/>
                <w:lang w:val="en-US" w:eastAsia="en-US"/>
              </w:rPr>
              <w:drawing>
                <wp:inline distT="0" distB="0" distL="0" distR="0" wp14:anchorId="18CC57C4" wp14:editId="79D46F31">
                  <wp:extent cx="6480175" cy="5386070"/>
                  <wp:effectExtent l="0" t="0" r="0" b="0"/>
                  <wp:docPr id="16" name="Diagramă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9E4CCC">
              <w:rPr>
                <w:rFonts w:ascii="Tahoma" w:hAnsi="Tahoma" w:cs="Tahoma"/>
                <w:vertAlign w:val="superscript"/>
              </w:rPr>
              <w:t xml:space="preserve">         </w:t>
            </w:r>
            <w:r w:rsidR="00865067">
              <w:rPr>
                <w:rFonts w:ascii="Tahoma" w:hAnsi="Tahoma" w:cs="Tahoma"/>
                <w:vertAlign w:val="superscript"/>
              </w:rPr>
              <w:t>*)</w:t>
            </w:r>
            <w:r w:rsidR="009E4CCC">
              <w:rPr>
                <w:rFonts w:ascii="Tahoma" w:hAnsi="Tahoma" w:cs="Tahoma"/>
                <w:vertAlign w:val="superscript"/>
              </w:rPr>
              <w:t xml:space="preserve">  </w:t>
            </w:r>
            <w:r w:rsidR="001F56B6">
              <w:rPr>
                <w:rFonts w:ascii="Tahoma" w:hAnsi="Tahoma" w:cs="Tahoma"/>
                <w:vertAlign w:val="superscript"/>
              </w:rPr>
              <w:t>Date definitive pentru anul 2019 (repartizate după luna producerii evenimentului demografic)</w:t>
            </w:r>
          </w:p>
          <w:p w:rsidR="009E4CCC" w:rsidRDefault="009E4CCC" w:rsidP="00EE62C3">
            <w:pPr>
              <w:spacing w:line="360" w:lineRule="auto"/>
              <w:jc w:val="both"/>
              <w:rPr>
                <w:rFonts w:ascii="Tahoma" w:hAnsi="Tahoma" w:cs="Tahoma"/>
                <w:vertAlign w:val="superscript"/>
              </w:rPr>
            </w:pPr>
            <w:r>
              <w:rPr>
                <w:rFonts w:ascii="Tahoma" w:hAnsi="Tahoma" w:cs="Tahoma"/>
                <w:vertAlign w:val="superscript"/>
              </w:rPr>
              <w:t xml:space="preserve">  **) Date provizorii (repartizate după luna înregistrării evenimentului demografic)</w:t>
            </w:r>
          </w:p>
          <w:p w:rsidR="008151C8" w:rsidRDefault="009E4CCC" w:rsidP="0058141E">
            <w:pPr>
              <w:spacing w:line="360" w:lineRule="auto"/>
              <w:jc w:val="both"/>
              <w:rPr>
                <w:rFonts w:ascii="Tahoma" w:hAnsi="Tahoma" w:cs="Tahoma"/>
                <w:sz w:val="16"/>
                <w:szCs w:val="16"/>
              </w:rPr>
            </w:pPr>
            <w:r>
              <w:rPr>
                <w:rFonts w:ascii="Tahoma" w:hAnsi="Tahoma" w:cs="Tahoma"/>
                <w:vertAlign w:val="superscript"/>
              </w:rPr>
              <w:t xml:space="preserve">     </w:t>
            </w:r>
            <w:r w:rsidR="008151C8" w:rsidRPr="004133FB">
              <w:rPr>
                <w:rFonts w:ascii="Tahoma" w:hAnsi="Tahoma" w:cs="Tahoma"/>
                <w:b/>
                <w:bCs/>
                <w:sz w:val="16"/>
                <w:szCs w:val="16"/>
              </w:rPr>
              <w:t xml:space="preserve">Notă: </w:t>
            </w:r>
            <w:r w:rsidR="008151C8" w:rsidRPr="004133FB">
              <w:rPr>
                <w:rFonts w:ascii="Tahoma" w:hAnsi="Tahoma" w:cs="Tahoma"/>
                <w:sz w:val="16"/>
                <w:szCs w:val="16"/>
              </w:rPr>
              <w:t>Repartizarea pe</w:t>
            </w:r>
            <w:r w:rsidR="008151C8">
              <w:rPr>
                <w:rFonts w:ascii="Tahoma" w:hAnsi="Tahoma" w:cs="Tahoma"/>
                <w:sz w:val="16"/>
                <w:szCs w:val="16"/>
              </w:rPr>
              <w:t xml:space="preserve"> </w:t>
            </w:r>
            <w:r w:rsidR="008151C8" w:rsidRPr="004133FB">
              <w:rPr>
                <w:rFonts w:ascii="Tahoma" w:hAnsi="Tahoma" w:cs="Tahoma"/>
                <w:sz w:val="16"/>
                <w:szCs w:val="16"/>
              </w:rPr>
              <w:t xml:space="preserve">judeţe s-a făcut astfel: născuţii-vii după </w:t>
            </w:r>
            <w:r w:rsidR="008151C8" w:rsidRPr="004133FB">
              <w:rPr>
                <w:rFonts w:ascii="Tahoma" w:hAnsi="Tahoma" w:cs="Tahoma"/>
                <w:i/>
                <w:iCs/>
                <w:sz w:val="16"/>
                <w:szCs w:val="16"/>
              </w:rPr>
              <w:t xml:space="preserve">domiciliul sau reşedinţa </w:t>
            </w:r>
            <w:r w:rsidR="008151C8" w:rsidRPr="004133FB">
              <w:rPr>
                <w:rFonts w:ascii="Tahoma" w:hAnsi="Tahoma" w:cs="Tahoma"/>
                <w:sz w:val="16"/>
                <w:szCs w:val="16"/>
              </w:rPr>
              <w:t xml:space="preserve">mamei, iar în lipsa acestora, după </w:t>
            </w:r>
            <w:r w:rsidR="008151C8" w:rsidRPr="004133FB">
              <w:rPr>
                <w:rFonts w:ascii="Tahoma" w:hAnsi="Tahoma" w:cs="Tahoma"/>
                <w:i/>
                <w:iCs/>
                <w:sz w:val="16"/>
                <w:szCs w:val="16"/>
              </w:rPr>
              <w:t>domiciliul sau reşedinţa</w:t>
            </w:r>
            <w:r w:rsidR="008151C8" w:rsidRPr="004133FB">
              <w:rPr>
                <w:rFonts w:ascii="Tahoma" w:hAnsi="Tahoma" w:cs="Tahoma"/>
                <w:sz w:val="16"/>
                <w:szCs w:val="16"/>
              </w:rPr>
              <w:t xml:space="preserve"> tatălui, decesele după </w:t>
            </w:r>
            <w:r w:rsidR="008151C8" w:rsidRPr="004133FB">
              <w:rPr>
                <w:rFonts w:ascii="Tahoma" w:hAnsi="Tahoma" w:cs="Tahoma"/>
                <w:i/>
                <w:iCs/>
                <w:sz w:val="16"/>
                <w:szCs w:val="16"/>
              </w:rPr>
              <w:t>domiciliul sau reşedinţa</w:t>
            </w:r>
            <w:r w:rsidR="008151C8" w:rsidRPr="004133FB">
              <w:rPr>
                <w:rFonts w:ascii="Tahoma" w:hAnsi="Tahoma" w:cs="Tahoma"/>
                <w:sz w:val="16"/>
                <w:szCs w:val="16"/>
              </w:rPr>
              <w:t xml:space="preserve"> decedatului, căsătoriile după locul încheierii şi divorţurile după ultimul domiciliu comun al soţilor.</w:t>
            </w:r>
          </w:p>
          <w:p w:rsidR="00263D4B" w:rsidRPr="004133FB" w:rsidRDefault="00263D4B" w:rsidP="002164AB">
            <w:pPr>
              <w:spacing w:line="360" w:lineRule="auto"/>
              <w:jc w:val="both"/>
              <w:rPr>
                <w:rFonts w:ascii="Tahoma" w:hAnsi="Tahoma" w:cs="Tahoma"/>
                <w:b/>
                <w:bCs/>
                <w:sz w:val="16"/>
                <w:szCs w:val="16"/>
              </w:rPr>
            </w:pPr>
            <w:r w:rsidRPr="00263D4B">
              <w:rPr>
                <w:rFonts w:ascii="Tahoma" w:hAnsi="Tahoma" w:cs="Tahoma"/>
                <w:b/>
                <w:bCs/>
                <w:sz w:val="16"/>
                <w:szCs w:val="16"/>
              </w:rPr>
              <w:tab/>
            </w:r>
            <w:r w:rsidRPr="00263D4B">
              <w:rPr>
                <w:rFonts w:ascii="Tahoma" w:hAnsi="Tahoma" w:cs="Tahoma"/>
                <w:b/>
                <w:bCs/>
                <w:sz w:val="16"/>
                <w:szCs w:val="16"/>
              </w:rPr>
              <w:tab/>
            </w:r>
            <w:r w:rsidRPr="00263D4B">
              <w:rPr>
                <w:rFonts w:ascii="Tahoma" w:hAnsi="Tahoma" w:cs="Tahoma"/>
                <w:b/>
                <w:bCs/>
                <w:sz w:val="16"/>
                <w:szCs w:val="16"/>
              </w:rPr>
              <w:tab/>
            </w:r>
            <w:r w:rsidRPr="00263D4B">
              <w:rPr>
                <w:rFonts w:ascii="Tahoma" w:hAnsi="Tahoma" w:cs="Tahoma"/>
                <w:b/>
                <w:bCs/>
                <w:sz w:val="16"/>
                <w:szCs w:val="16"/>
              </w:rPr>
              <w:tab/>
            </w:r>
            <w:r w:rsidRPr="00263D4B">
              <w:rPr>
                <w:rFonts w:ascii="Tahoma" w:hAnsi="Tahoma" w:cs="Tahoma"/>
                <w:b/>
                <w:bCs/>
                <w:sz w:val="16"/>
                <w:szCs w:val="16"/>
              </w:rPr>
              <w:tab/>
            </w:r>
            <w:r w:rsidRPr="00263D4B">
              <w:rPr>
                <w:rFonts w:ascii="Tahoma" w:hAnsi="Tahoma" w:cs="Tahoma"/>
                <w:b/>
                <w:bCs/>
                <w:sz w:val="16"/>
                <w:szCs w:val="16"/>
              </w:rPr>
              <w:tab/>
            </w:r>
            <w:r w:rsidRPr="00263D4B">
              <w:rPr>
                <w:rFonts w:ascii="Tahoma" w:hAnsi="Tahoma" w:cs="Tahoma"/>
                <w:b/>
                <w:bCs/>
                <w:sz w:val="16"/>
                <w:szCs w:val="16"/>
              </w:rPr>
              <w:tab/>
            </w:r>
            <w:r w:rsidRPr="00263D4B">
              <w:rPr>
                <w:rFonts w:ascii="Tahoma" w:hAnsi="Tahoma" w:cs="Tahoma"/>
                <w:b/>
                <w:bCs/>
                <w:sz w:val="16"/>
                <w:szCs w:val="16"/>
              </w:rPr>
              <w:tab/>
            </w:r>
            <w:r w:rsidRPr="00263D4B">
              <w:rPr>
                <w:rFonts w:ascii="Tahoma" w:hAnsi="Tahoma" w:cs="Tahoma"/>
                <w:b/>
                <w:bCs/>
                <w:sz w:val="16"/>
                <w:szCs w:val="16"/>
              </w:rPr>
              <w:tab/>
            </w:r>
            <w:r w:rsidRPr="00263D4B">
              <w:rPr>
                <w:rFonts w:ascii="Tahoma" w:hAnsi="Tahoma" w:cs="Tahoma"/>
                <w:b/>
                <w:bCs/>
                <w:sz w:val="16"/>
                <w:szCs w:val="16"/>
              </w:rPr>
              <w:tab/>
            </w:r>
            <w:r w:rsidRPr="00263D4B">
              <w:rPr>
                <w:rFonts w:ascii="Tahoma" w:hAnsi="Tahoma" w:cs="Tahoma"/>
                <w:b/>
                <w:bCs/>
                <w:sz w:val="16"/>
                <w:szCs w:val="16"/>
              </w:rPr>
              <w:tab/>
            </w:r>
            <w:r w:rsidRPr="00263D4B">
              <w:rPr>
                <w:rFonts w:ascii="Tahoma" w:hAnsi="Tahoma" w:cs="Tahoma"/>
                <w:b/>
                <w:bCs/>
                <w:sz w:val="16"/>
                <w:szCs w:val="16"/>
              </w:rPr>
              <w:tab/>
            </w:r>
            <w:r w:rsidRPr="00263D4B">
              <w:rPr>
                <w:rFonts w:ascii="Tahoma" w:hAnsi="Tahoma" w:cs="Tahoma"/>
                <w:b/>
                <w:bCs/>
                <w:sz w:val="16"/>
                <w:szCs w:val="16"/>
              </w:rPr>
              <w:tab/>
            </w:r>
          </w:p>
        </w:tc>
      </w:tr>
      <w:tr w:rsidR="008151C8" w:rsidRPr="004133FB" w:rsidTr="00151075">
        <w:trPr>
          <w:trHeight w:val="290"/>
        </w:trPr>
        <w:tc>
          <w:tcPr>
            <w:tcW w:w="10189" w:type="dxa"/>
            <w:vMerge/>
          </w:tcPr>
          <w:p w:rsidR="008151C8" w:rsidRPr="004133FB" w:rsidRDefault="008151C8" w:rsidP="004133FB">
            <w:pPr>
              <w:spacing w:line="360" w:lineRule="auto"/>
              <w:jc w:val="both"/>
              <w:rPr>
                <w:rFonts w:ascii="Tahoma" w:hAnsi="Tahoma" w:cs="Tahoma"/>
                <w:b/>
                <w:bCs/>
                <w:sz w:val="16"/>
                <w:szCs w:val="16"/>
              </w:rPr>
            </w:pPr>
          </w:p>
        </w:tc>
      </w:tr>
    </w:tbl>
    <w:p w:rsidR="008151C8" w:rsidRDefault="008151C8" w:rsidP="00615CED">
      <w:pPr>
        <w:spacing w:line="360" w:lineRule="auto"/>
        <w:ind w:firstLine="708"/>
        <w:jc w:val="both"/>
        <w:rPr>
          <w:rFonts w:ascii="Tahoma" w:hAnsi="Tahoma" w:cs="Tahoma"/>
        </w:rPr>
      </w:pPr>
      <w:r>
        <w:rPr>
          <w:rFonts w:ascii="Tahoma" w:hAnsi="Tahoma" w:cs="Tahoma"/>
        </w:rPr>
        <w:t xml:space="preserve">În luna </w:t>
      </w:r>
      <w:r w:rsidR="00DA6F5C">
        <w:rPr>
          <w:rFonts w:ascii="Tahoma" w:hAnsi="Tahoma" w:cs="Tahoma"/>
        </w:rPr>
        <w:t>decembrie</w:t>
      </w:r>
      <w:r w:rsidR="00D45A89">
        <w:rPr>
          <w:rFonts w:ascii="Tahoma" w:hAnsi="Tahoma" w:cs="Tahoma"/>
        </w:rPr>
        <w:t xml:space="preserve"> 2020</w:t>
      </w:r>
      <w:r>
        <w:rPr>
          <w:rFonts w:ascii="Tahoma" w:hAnsi="Tahoma" w:cs="Tahoma"/>
        </w:rPr>
        <w:t xml:space="preserve"> judeţul Buzău se situează în clasamentul descrescător </w:t>
      </w:r>
      <w:r w:rsidR="00394B10">
        <w:rPr>
          <w:rFonts w:ascii="Tahoma" w:hAnsi="Tahoma" w:cs="Tahoma"/>
        </w:rPr>
        <w:t xml:space="preserve">pe ţară al </w:t>
      </w:r>
      <w:r w:rsidR="00F876F5">
        <w:rPr>
          <w:rFonts w:ascii="Tahoma" w:hAnsi="Tahoma" w:cs="Tahoma"/>
        </w:rPr>
        <w:t>judeţelor pe locul 2</w:t>
      </w:r>
      <w:r w:rsidR="001F56B6">
        <w:rPr>
          <w:rFonts w:ascii="Tahoma" w:hAnsi="Tahoma" w:cs="Tahoma"/>
        </w:rPr>
        <w:t>8</w:t>
      </w:r>
      <w:r>
        <w:rPr>
          <w:rFonts w:ascii="Tahoma" w:hAnsi="Tahoma" w:cs="Tahoma"/>
        </w:rPr>
        <w:t xml:space="preserve"> referitor la sporul natural.</w:t>
      </w:r>
    </w:p>
    <w:p w:rsidR="00D32F29" w:rsidRDefault="00D32F29" w:rsidP="00615CED">
      <w:pPr>
        <w:spacing w:line="360" w:lineRule="auto"/>
        <w:ind w:firstLine="708"/>
        <w:jc w:val="both"/>
        <w:rPr>
          <w:rFonts w:ascii="Tahoma" w:hAnsi="Tahoma" w:cs="Tahoma"/>
        </w:rPr>
      </w:pPr>
    </w:p>
    <w:p w:rsidR="00AF65A0" w:rsidRDefault="00AF65A0" w:rsidP="00615CED">
      <w:pPr>
        <w:spacing w:line="360" w:lineRule="auto"/>
        <w:ind w:firstLine="708"/>
        <w:jc w:val="both"/>
        <w:rPr>
          <w:rFonts w:ascii="Tahoma" w:hAnsi="Tahoma" w:cs="Tahoma"/>
        </w:rPr>
      </w:pPr>
    </w:p>
    <w:p w:rsidR="00AF65A0" w:rsidRDefault="00AF65A0" w:rsidP="00615CED">
      <w:pPr>
        <w:spacing w:line="360" w:lineRule="auto"/>
        <w:ind w:firstLine="708"/>
        <w:jc w:val="both"/>
        <w:rPr>
          <w:rFonts w:ascii="Tahoma" w:hAnsi="Tahoma" w:cs="Tahoma"/>
        </w:rPr>
      </w:pPr>
    </w:p>
    <w:p w:rsidR="00AF65A0" w:rsidRDefault="00AF65A0" w:rsidP="00615CED">
      <w:pPr>
        <w:spacing w:line="360" w:lineRule="auto"/>
        <w:ind w:firstLine="708"/>
        <w:jc w:val="both"/>
        <w:rPr>
          <w:rFonts w:ascii="Tahoma" w:hAnsi="Tahoma" w:cs="Tahoma"/>
        </w:rPr>
      </w:pPr>
    </w:p>
    <w:p w:rsidR="00AF65A0" w:rsidRDefault="00AF65A0" w:rsidP="00615CED">
      <w:pPr>
        <w:spacing w:line="360" w:lineRule="auto"/>
        <w:ind w:firstLine="708"/>
        <w:jc w:val="both"/>
        <w:rPr>
          <w:rFonts w:ascii="Tahoma" w:hAnsi="Tahoma" w:cs="Tahoma"/>
        </w:rPr>
      </w:pPr>
    </w:p>
    <w:p w:rsidR="00AF65A0" w:rsidRDefault="00AF65A0" w:rsidP="00615CED">
      <w:pPr>
        <w:spacing w:line="360" w:lineRule="auto"/>
        <w:ind w:firstLine="708"/>
        <w:jc w:val="both"/>
        <w:rPr>
          <w:rFonts w:ascii="Tahoma" w:hAnsi="Tahoma" w:cs="Tahoma"/>
        </w:rPr>
      </w:pPr>
    </w:p>
    <w:p w:rsidR="00AF65A0" w:rsidRDefault="00AF65A0" w:rsidP="00615CED">
      <w:pPr>
        <w:spacing w:line="360" w:lineRule="auto"/>
        <w:ind w:firstLine="708"/>
        <w:jc w:val="both"/>
        <w:rPr>
          <w:rFonts w:ascii="Tahoma" w:hAnsi="Tahoma" w:cs="Tahoma"/>
          <w:b/>
          <w:sz w:val="32"/>
          <w:szCs w:val="32"/>
        </w:rPr>
      </w:pPr>
      <w:r w:rsidRPr="00AF65A0">
        <w:rPr>
          <w:rFonts w:ascii="Tahoma" w:hAnsi="Tahoma" w:cs="Tahoma"/>
          <w:b/>
          <w:sz w:val="32"/>
          <w:szCs w:val="32"/>
        </w:rPr>
        <w:lastRenderedPageBreak/>
        <w:t>II.</w:t>
      </w:r>
      <w:r>
        <w:rPr>
          <w:rFonts w:ascii="Tahoma" w:hAnsi="Tahoma" w:cs="Tahoma"/>
          <w:b/>
          <w:sz w:val="32"/>
          <w:szCs w:val="32"/>
        </w:rPr>
        <w:t xml:space="preserve"> Dificultăți întâmpinate și măsurile întreprinse pentru soluționarea lor</w:t>
      </w:r>
    </w:p>
    <w:p w:rsidR="00AF65A0" w:rsidRDefault="00AF65A0" w:rsidP="00615CED">
      <w:pPr>
        <w:spacing w:line="360" w:lineRule="auto"/>
        <w:ind w:firstLine="708"/>
        <w:jc w:val="both"/>
        <w:rPr>
          <w:rFonts w:ascii="Tahoma" w:hAnsi="Tahoma" w:cs="Tahoma"/>
          <w:b/>
          <w:sz w:val="32"/>
          <w:szCs w:val="32"/>
        </w:rPr>
      </w:pPr>
    </w:p>
    <w:p w:rsidR="00AF65A0" w:rsidRDefault="002A621B" w:rsidP="00615CED">
      <w:pPr>
        <w:spacing w:line="360" w:lineRule="auto"/>
        <w:ind w:firstLine="708"/>
        <w:jc w:val="both"/>
        <w:rPr>
          <w:rFonts w:ascii="Tahoma" w:hAnsi="Tahoma" w:cs="Tahoma"/>
        </w:rPr>
      </w:pPr>
      <w:r w:rsidRPr="002A621B">
        <w:rPr>
          <w:rFonts w:ascii="Tahoma" w:hAnsi="Tahoma" w:cs="Tahoma"/>
        </w:rPr>
        <w:t>În perioada 10 mai-31 iulie 2021</w:t>
      </w:r>
      <w:r>
        <w:rPr>
          <w:rFonts w:ascii="Tahoma" w:hAnsi="Tahoma" w:cs="Tahoma"/>
        </w:rPr>
        <w:t xml:space="preserve"> se va desfășura, pe tot teritoriul țării activitatea de recenzare a exploatațiilor agricole, conform prevederilor O.U.G. 22/2020 precum și ale calendarului acțiunilor, aprobat de Comisia Centrală pentru Recensământul General Agricol prin Hotărârea nr.1/2021. Culegerea datelor va fi realizată de personal special recrutat în calitate de recenzori-451 persoane la nivelul județului și recenzori șefi-121 persoane. Pentru instruirea personalului de recensământ în vederea însușirii metodologiei și a utilizării soluției informatice</w:t>
      </w:r>
      <w:r w:rsidR="00170D3A">
        <w:rPr>
          <w:rFonts w:ascii="Tahoma" w:hAnsi="Tahoma" w:cs="Tahoma"/>
        </w:rPr>
        <w:t xml:space="preserve"> instalată pe tablete, au fost luate următoarele măsuri </w:t>
      </w:r>
      <w:r w:rsidR="00085ACC">
        <w:rPr>
          <w:rFonts w:ascii="Tahoma" w:hAnsi="Tahoma" w:cs="Tahoma"/>
        </w:rPr>
        <w:t xml:space="preserve">impuse de </w:t>
      </w:r>
      <w:r w:rsidR="00170D3A">
        <w:rPr>
          <w:rFonts w:ascii="Tahoma" w:hAnsi="Tahoma" w:cs="Tahoma"/>
        </w:rPr>
        <w:t xml:space="preserve"> situația epidemiologică:</w:t>
      </w:r>
    </w:p>
    <w:p w:rsidR="00170D3A" w:rsidRDefault="00170D3A" w:rsidP="00170D3A">
      <w:pPr>
        <w:pStyle w:val="ListParagraph"/>
        <w:numPr>
          <w:ilvl w:val="0"/>
          <w:numId w:val="5"/>
        </w:numPr>
        <w:spacing w:line="360" w:lineRule="auto"/>
        <w:jc w:val="both"/>
        <w:rPr>
          <w:rFonts w:ascii="Tahoma" w:hAnsi="Tahoma" w:cs="Tahoma"/>
        </w:rPr>
      </w:pPr>
      <w:r>
        <w:rPr>
          <w:rFonts w:ascii="Tahoma" w:hAnsi="Tahoma" w:cs="Tahoma"/>
        </w:rPr>
        <w:t>s-au realizat 2 serii de instruiri on-line</w:t>
      </w:r>
      <w:r w:rsidR="00085ACC">
        <w:rPr>
          <w:rFonts w:ascii="Tahoma" w:hAnsi="Tahoma" w:cs="Tahoma"/>
        </w:rPr>
        <w:t xml:space="preserve"> în vederea însușirii metodologiei</w:t>
      </w:r>
      <w:r>
        <w:rPr>
          <w:rFonts w:ascii="Tahoma" w:hAnsi="Tahoma" w:cs="Tahoma"/>
        </w:rPr>
        <w:t>, recenzorii și recenzorii șefi fiind convocați la sediul primăriilor pentru a asigura participarea acestora în condiții de siguranță sanitară;</w:t>
      </w:r>
    </w:p>
    <w:p w:rsidR="00170D3A" w:rsidRDefault="00170D3A" w:rsidP="00170D3A">
      <w:pPr>
        <w:pStyle w:val="ListParagraph"/>
        <w:numPr>
          <w:ilvl w:val="0"/>
          <w:numId w:val="5"/>
        </w:numPr>
        <w:spacing w:line="360" w:lineRule="auto"/>
        <w:jc w:val="both"/>
        <w:rPr>
          <w:rFonts w:ascii="Tahoma" w:hAnsi="Tahoma" w:cs="Tahoma"/>
        </w:rPr>
      </w:pPr>
      <w:r>
        <w:rPr>
          <w:rFonts w:ascii="Tahoma" w:hAnsi="Tahoma" w:cs="Tahoma"/>
        </w:rPr>
        <w:t xml:space="preserve">s-au constituit 3 echipe formate din personal al Direcției Județene de Statistică Buzău și personal din cadrul Direcției Agricole Județene care s-au deplasat în teritoriu, în </w:t>
      </w:r>
      <w:r w:rsidR="008F126D">
        <w:rPr>
          <w:rFonts w:ascii="Tahoma" w:hAnsi="Tahoma" w:cs="Tahoma"/>
        </w:rPr>
        <w:t>vederea distribuirii tabletelor, gentuțelor și pixurilor</w:t>
      </w:r>
      <w:r w:rsidR="001E0840">
        <w:rPr>
          <w:rFonts w:ascii="Tahoma" w:hAnsi="Tahoma" w:cs="Tahoma"/>
        </w:rPr>
        <w:t>, ocazie cu care s-a realizat și instruirea personalului de recensământ privind utilizarea aplicației informatice. Au fost organizate 28 serii de instruire într-un număr de 13 locații. Cu ocazia instruirilor, personalul de recensământ a fost informat și cu privire la măsurile de siguranță sanitară pe care trebuie să le respecte pe tot parcursul acțiunii de recenzare. Pentru a verifica modul în care și-au însușit cunoștințele necesare pentru realizarea recenzării complete și cu respectarea condițiilor de calitate impuse, cele 3 echipe se vor deplasa în fiecare UAT în perioada 10 mai-31 iulie 2021</w:t>
      </w:r>
      <w:r w:rsidR="001574DE">
        <w:rPr>
          <w:rFonts w:ascii="Tahoma" w:hAnsi="Tahoma" w:cs="Tahoma"/>
        </w:rPr>
        <w:t>, ocazie cu care se vor întâlni cu recenzorii și recenzorii șefi și vor verifica modul în care se realizează înregistrarea pe teren și vor asigura asistența tehnică necesară</w:t>
      </w:r>
      <w:r w:rsidR="001E0840">
        <w:rPr>
          <w:rFonts w:ascii="Tahoma" w:hAnsi="Tahoma" w:cs="Tahoma"/>
        </w:rPr>
        <w:t>.</w:t>
      </w:r>
    </w:p>
    <w:p w:rsidR="001574DE" w:rsidRPr="001574DE" w:rsidRDefault="001574DE" w:rsidP="001574DE">
      <w:pPr>
        <w:spacing w:line="360" w:lineRule="auto"/>
        <w:ind w:firstLine="708"/>
        <w:jc w:val="both"/>
        <w:rPr>
          <w:rFonts w:ascii="Tahoma" w:hAnsi="Tahoma" w:cs="Tahoma"/>
        </w:rPr>
      </w:pPr>
      <w:r>
        <w:rPr>
          <w:rFonts w:ascii="Tahoma" w:hAnsi="Tahoma" w:cs="Tahoma"/>
        </w:rPr>
        <w:t>Toate aceste măsuri au fost adoptate pentru a asigura instruirea personalului de recensământ fără a încălca măsurile sanitare impuse de situația epidemiologică.</w:t>
      </w:r>
    </w:p>
    <w:p w:rsidR="00AF65A0" w:rsidRPr="00AF65A0" w:rsidRDefault="00AF65A0" w:rsidP="00615CED">
      <w:pPr>
        <w:spacing w:line="360" w:lineRule="auto"/>
        <w:ind w:firstLine="708"/>
        <w:jc w:val="both"/>
        <w:rPr>
          <w:rFonts w:ascii="Tahoma" w:hAnsi="Tahoma" w:cs="Tahoma"/>
          <w:b/>
        </w:rPr>
      </w:pPr>
    </w:p>
    <w:p w:rsidR="008151C8" w:rsidRDefault="008151C8" w:rsidP="00745BD4">
      <w:pPr>
        <w:jc w:val="center"/>
        <w:rPr>
          <w:rFonts w:ascii="Tahoma" w:hAnsi="Tahoma" w:cs="Tahoma"/>
          <w:b/>
          <w:sz w:val="28"/>
          <w:szCs w:val="28"/>
        </w:rPr>
      </w:pPr>
      <w:r w:rsidRPr="00BE274E">
        <w:rPr>
          <w:rFonts w:ascii="Tahoma" w:hAnsi="Tahoma" w:cs="Tahoma"/>
          <w:b/>
          <w:sz w:val="28"/>
          <w:szCs w:val="28"/>
        </w:rPr>
        <w:t>Director executiv,</w:t>
      </w:r>
    </w:p>
    <w:p w:rsidR="008151C8" w:rsidRPr="00BE274E" w:rsidRDefault="008151C8" w:rsidP="00745BD4">
      <w:pPr>
        <w:jc w:val="center"/>
        <w:rPr>
          <w:rFonts w:ascii="Tahoma" w:hAnsi="Tahoma" w:cs="Tahoma"/>
          <w:sz w:val="28"/>
          <w:szCs w:val="28"/>
        </w:rPr>
      </w:pPr>
      <w:r w:rsidRPr="00BE274E">
        <w:rPr>
          <w:rFonts w:ascii="Tahoma" w:hAnsi="Tahoma" w:cs="Tahoma"/>
          <w:sz w:val="28"/>
          <w:szCs w:val="28"/>
        </w:rPr>
        <w:t xml:space="preserve">Cornelia </w:t>
      </w:r>
      <w:r w:rsidR="00AF65A0">
        <w:rPr>
          <w:rFonts w:ascii="Tahoma" w:hAnsi="Tahoma" w:cs="Tahoma"/>
          <w:sz w:val="28"/>
          <w:szCs w:val="28"/>
        </w:rPr>
        <w:t xml:space="preserve"> Mirela </w:t>
      </w:r>
      <w:r w:rsidRPr="00BE274E">
        <w:rPr>
          <w:rFonts w:ascii="Tahoma" w:hAnsi="Tahoma" w:cs="Tahoma"/>
          <w:sz w:val="28"/>
          <w:szCs w:val="28"/>
        </w:rPr>
        <w:t>G</w:t>
      </w:r>
      <w:r w:rsidR="00AF65A0">
        <w:rPr>
          <w:rFonts w:ascii="Tahoma" w:hAnsi="Tahoma" w:cs="Tahoma"/>
          <w:sz w:val="28"/>
          <w:szCs w:val="28"/>
        </w:rPr>
        <w:t>EAMBAȘU</w:t>
      </w:r>
    </w:p>
    <w:sectPr w:rsidR="008151C8" w:rsidRPr="00BE274E" w:rsidSect="00D91447">
      <w:footerReference w:type="even" r:id="rId20"/>
      <w:footerReference w:type="default" r:id="rId21"/>
      <w:pgSz w:w="11906" w:h="16838" w:code="9"/>
      <w:pgMar w:top="567" w:right="567"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0E" w:rsidRDefault="00400B0E">
      <w:r>
        <w:separator/>
      </w:r>
    </w:p>
  </w:endnote>
  <w:endnote w:type="continuationSeparator" w:id="0">
    <w:p w:rsidR="00400B0E" w:rsidRDefault="0040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Rom">
    <w:altName w:val="Arial"/>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C8" w:rsidRDefault="008151C8" w:rsidP="00F60B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51C8" w:rsidRDefault="00815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C8" w:rsidRPr="00ED3122" w:rsidRDefault="008151C8" w:rsidP="00F60B74">
    <w:pPr>
      <w:pStyle w:val="Footer"/>
      <w:framePr w:wrap="around" w:vAnchor="text" w:hAnchor="margin" w:xAlign="center" w:y="1"/>
      <w:rPr>
        <w:rStyle w:val="PageNumber"/>
        <w:sz w:val="20"/>
        <w:szCs w:val="20"/>
      </w:rPr>
    </w:pPr>
    <w:r w:rsidRPr="00ED3122">
      <w:rPr>
        <w:rStyle w:val="PageNumber"/>
        <w:sz w:val="20"/>
        <w:szCs w:val="20"/>
      </w:rPr>
      <w:fldChar w:fldCharType="begin"/>
    </w:r>
    <w:r w:rsidRPr="00ED3122">
      <w:rPr>
        <w:rStyle w:val="PageNumber"/>
        <w:sz w:val="20"/>
        <w:szCs w:val="20"/>
      </w:rPr>
      <w:instrText xml:space="preserve">PAGE  </w:instrText>
    </w:r>
    <w:r w:rsidRPr="00ED3122">
      <w:rPr>
        <w:rStyle w:val="PageNumber"/>
        <w:sz w:val="20"/>
        <w:szCs w:val="20"/>
      </w:rPr>
      <w:fldChar w:fldCharType="separate"/>
    </w:r>
    <w:r w:rsidR="00945EB2">
      <w:rPr>
        <w:rStyle w:val="PageNumber"/>
        <w:noProof/>
        <w:sz w:val="20"/>
        <w:szCs w:val="20"/>
      </w:rPr>
      <w:t>2</w:t>
    </w:r>
    <w:r w:rsidRPr="00ED3122">
      <w:rPr>
        <w:rStyle w:val="PageNumber"/>
        <w:sz w:val="20"/>
        <w:szCs w:val="20"/>
      </w:rPr>
      <w:fldChar w:fldCharType="end"/>
    </w:r>
  </w:p>
  <w:p w:rsidR="008151C8" w:rsidRDefault="00815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0E" w:rsidRDefault="00400B0E">
      <w:r>
        <w:separator/>
      </w:r>
    </w:p>
  </w:footnote>
  <w:footnote w:type="continuationSeparator" w:id="0">
    <w:p w:rsidR="00400B0E" w:rsidRDefault="00400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E4B"/>
    <w:multiLevelType w:val="hybridMultilevel"/>
    <w:tmpl w:val="CDACCA3C"/>
    <w:lvl w:ilvl="0" w:tplc="5576E640">
      <w:start w:val="1"/>
      <w:numFmt w:val="decimal"/>
      <w:lvlText w:val="%1."/>
      <w:lvlJc w:val="left"/>
      <w:pPr>
        <w:tabs>
          <w:tab w:val="num" w:pos="1065"/>
        </w:tabs>
        <w:ind w:left="1065" w:hanging="360"/>
      </w:pPr>
      <w:rPr>
        <w:rFonts w:cs="Times New Roman" w:hint="default"/>
        <w:b/>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
    <w:nsid w:val="277A2A8B"/>
    <w:multiLevelType w:val="hybridMultilevel"/>
    <w:tmpl w:val="E5163588"/>
    <w:lvl w:ilvl="0" w:tplc="B67428F0">
      <w:start w:val="2"/>
      <w:numFmt w:val="bullet"/>
      <w:lvlText w:val="-"/>
      <w:lvlJc w:val="left"/>
      <w:pPr>
        <w:ind w:left="1068" w:hanging="360"/>
      </w:pPr>
      <w:rPr>
        <w:rFonts w:ascii="Tahoma" w:eastAsia="Times New Roman" w:hAnsi="Tahoma"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5CDA56D2"/>
    <w:multiLevelType w:val="hybridMultilevel"/>
    <w:tmpl w:val="044E6998"/>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6B68536D"/>
    <w:multiLevelType w:val="hybridMultilevel"/>
    <w:tmpl w:val="EC7877F0"/>
    <w:lvl w:ilvl="0" w:tplc="032C0194">
      <w:start w:val="1"/>
      <w:numFmt w:val="decimal"/>
      <w:lvlText w:val="%1."/>
      <w:lvlJc w:val="left"/>
      <w:pPr>
        <w:tabs>
          <w:tab w:val="num" w:pos="1065"/>
        </w:tabs>
        <w:ind w:left="1065" w:hanging="360"/>
      </w:pPr>
      <w:rPr>
        <w:rFonts w:cs="Times New Roman" w:hint="default"/>
        <w:b/>
        <w:u w:val="single"/>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4">
    <w:nsid w:val="74A82467"/>
    <w:multiLevelType w:val="hybridMultilevel"/>
    <w:tmpl w:val="01405E40"/>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C1"/>
    <w:rsid w:val="000007E2"/>
    <w:rsid w:val="000038A7"/>
    <w:rsid w:val="00005954"/>
    <w:rsid w:val="00007558"/>
    <w:rsid w:val="00014508"/>
    <w:rsid w:val="000230D9"/>
    <w:rsid w:val="000237C8"/>
    <w:rsid w:val="00025497"/>
    <w:rsid w:val="00036168"/>
    <w:rsid w:val="0003754D"/>
    <w:rsid w:val="000430AB"/>
    <w:rsid w:val="000462D0"/>
    <w:rsid w:val="00047E10"/>
    <w:rsid w:val="000524F9"/>
    <w:rsid w:val="00054AB4"/>
    <w:rsid w:val="00055901"/>
    <w:rsid w:val="00056282"/>
    <w:rsid w:val="0005760B"/>
    <w:rsid w:val="000602C4"/>
    <w:rsid w:val="00063711"/>
    <w:rsid w:val="000703D6"/>
    <w:rsid w:val="000721EF"/>
    <w:rsid w:val="00073306"/>
    <w:rsid w:val="00073696"/>
    <w:rsid w:val="00077A4D"/>
    <w:rsid w:val="00077B20"/>
    <w:rsid w:val="000831FA"/>
    <w:rsid w:val="00085ACC"/>
    <w:rsid w:val="00085ED8"/>
    <w:rsid w:val="00086B34"/>
    <w:rsid w:val="0009013C"/>
    <w:rsid w:val="0009190E"/>
    <w:rsid w:val="00094C46"/>
    <w:rsid w:val="00097C82"/>
    <w:rsid w:val="000A0EA7"/>
    <w:rsid w:val="000A431C"/>
    <w:rsid w:val="000A5D3F"/>
    <w:rsid w:val="000A6C13"/>
    <w:rsid w:val="000A71B8"/>
    <w:rsid w:val="000A7AC4"/>
    <w:rsid w:val="000A7F03"/>
    <w:rsid w:val="000B3328"/>
    <w:rsid w:val="000C0C41"/>
    <w:rsid w:val="000C1184"/>
    <w:rsid w:val="000C23EF"/>
    <w:rsid w:val="000C2570"/>
    <w:rsid w:val="000C2AE7"/>
    <w:rsid w:val="000C30CE"/>
    <w:rsid w:val="000C30D1"/>
    <w:rsid w:val="000C6E70"/>
    <w:rsid w:val="000D1439"/>
    <w:rsid w:val="000D2853"/>
    <w:rsid w:val="000D4274"/>
    <w:rsid w:val="000D5EEC"/>
    <w:rsid w:val="000E1B1E"/>
    <w:rsid w:val="000E30B5"/>
    <w:rsid w:val="000F06D7"/>
    <w:rsid w:val="000F6068"/>
    <w:rsid w:val="000F6109"/>
    <w:rsid w:val="00100B8A"/>
    <w:rsid w:val="00103CC5"/>
    <w:rsid w:val="001063AE"/>
    <w:rsid w:val="001063D8"/>
    <w:rsid w:val="0011093C"/>
    <w:rsid w:val="00113E8D"/>
    <w:rsid w:val="00114CC4"/>
    <w:rsid w:val="00116594"/>
    <w:rsid w:val="00123210"/>
    <w:rsid w:val="001361C6"/>
    <w:rsid w:val="00137293"/>
    <w:rsid w:val="00137453"/>
    <w:rsid w:val="00141684"/>
    <w:rsid w:val="00141C93"/>
    <w:rsid w:val="001442BF"/>
    <w:rsid w:val="00144A6E"/>
    <w:rsid w:val="00145576"/>
    <w:rsid w:val="00151075"/>
    <w:rsid w:val="001569D6"/>
    <w:rsid w:val="001574DE"/>
    <w:rsid w:val="001655D9"/>
    <w:rsid w:val="0017051A"/>
    <w:rsid w:val="00170D3A"/>
    <w:rsid w:val="00171663"/>
    <w:rsid w:val="00177D3C"/>
    <w:rsid w:val="00183363"/>
    <w:rsid w:val="00187198"/>
    <w:rsid w:val="00187482"/>
    <w:rsid w:val="0018793F"/>
    <w:rsid w:val="001913E1"/>
    <w:rsid w:val="00191598"/>
    <w:rsid w:val="00194C0B"/>
    <w:rsid w:val="0019719F"/>
    <w:rsid w:val="00197417"/>
    <w:rsid w:val="001A74EF"/>
    <w:rsid w:val="001B61AA"/>
    <w:rsid w:val="001B79BA"/>
    <w:rsid w:val="001C2075"/>
    <w:rsid w:val="001C2328"/>
    <w:rsid w:val="001C44DC"/>
    <w:rsid w:val="001C4978"/>
    <w:rsid w:val="001D3AAF"/>
    <w:rsid w:val="001D3B76"/>
    <w:rsid w:val="001D4465"/>
    <w:rsid w:val="001D5AC5"/>
    <w:rsid w:val="001D5B07"/>
    <w:rsid w:val="001E0840"/>
    <w:rsid w:val="001E39F6"/>
    <w:rsid w:val="001E454C"/>
    <w:rsid w:val="001E4F74"/>
    <w:rsid w:val="001E6F11"/>
    <w:rsid w:val="001F08B5"/>
    <w:rsid w:val="001F0A76"/>
    <w:rsid w:val="001F2F0D"/>
    <w:rsid w:val="001F49C0"/>
    <w:rsid w:val="001F56B6"/>
    <w:rsid w:val="001F6B09"/>
    <w:rsid w:val="002031D3"/>
    <w:rsid w:val="002104F4"/>
    <w:rsid w:val="00210767"/>
    <w:rsid w:val="00212718"/>
    <w:rsid w:val="002164AB"/>
    <w:rsid w:val="00216852"/>
    <w:rsid w:val="00217096"/>
    <w:rsid w:val="002179D1"/>
    <w:rsid w:val="002226EF"/>
    <w:rsid w:val="002233FB"/>
    <w:rsid w:val="00225712"/>
    <w:rsid w:val="00226328"/>
    <w:rsid w:val="00233AD3"/>
    <w:rsid w:val="002341C3"/>
    <w:rsid w:val="002408B6"/>
    <w:rsid w:val="002409AE"/>
    <w:rsid w:val="00243108"/>
    <w:rsid w:val="00243AEB"/>
    <w:rsid w:val="00244AB0"/>
    <w:rsid w:val="00245204"/>
    <w:rsid w:val="00251270"/>
    <w:rsid w:val="00251489"/>
    <w:rsid w:val="00251C33"/>
    <w:rsid w:val="002526B4"/>
    <w:rsid w:val="00256F49"/>
    <w:rsid w:val="00257D40"/>
    <w:rsid w:val="00260BB2"/>
    <w:rsid w:val="0026263E"/>
    <w:rsid w:val="00263D4B"/>
    <w:rsid w:val="00267322"/>
    <w:rsid w:val="00272233"/>
    <w:rsid w:val="00275188"/>
    <w:rsid w:val="002838E3"/>
    <w:rsid w:val="00286139"/>
    <w:rsid w:val="002A1C89"/>
    <w:rsid w:val="002A5D0F"/>
    <w:rsid w:val="002A621B"/>
    <w:rsid w:val="002B1587"/>
    <w:rsid w:val="002B31F5"/>
    <w:rsid w:val="002B4E63"/>
    <w:rsid w:val="002B6993"/>
    <w:rsid w:val="002D3D12"/>
    <w:rsid w:val="002D5D9D"/>
    <w:rsid w:val="002D62AD"/>
    <w:rsid w:val="002D7F4E"/>
    <w:rsid w:val="002E0BBA"/>
    <w:rsid w:val="002F1197"/>
    <w:rsid w:val="002F15C7"/>
    <w:rsid w:val="002F6559"/>
    <w:rsid w:val="00303A89"/>
    <w:rsid w:val="00306117"/>
    <w:rsid w:val="003151EE"/>
    <w:rsid w:val="0031620A"/>
    <w:rsid w:val="00320366"/>
    <w:rsid w:val="0032339E"/>
    <w:rsid w:val="0033193A"/>
    <w:rsid w:val="00333DEF"/>
    <w:rsid w:val="00335640"/>
    <w:rsid w:val="0033640B"/>
    <w:rsid w:val="003364C9"/>
    <w:rsid w:val="00336AC5"/>
    <w:rsid w:val="003376C3"/>
    <w:rsid w:val="00340306"/>
    <w:rsid w:val="0034246D"/>
    <w:rsid w:val="0034271D"/>
    <w:rsid w:val="00345A9D"/>
    <w:rsid w:val="00345CCB"/>
    <w:rsid w:val="00347179"/>
    <w:rsid w:val="00350789"/>
    <w:rsid w:val="0035103C"/>
    <w:rsid w:val="00357FDF"/>
    <w:rsid w:val="003625E7"/>
    <w:rsid w:val="00363B78"/>
    <w:rsid w:val="00372871"/>
    <w:rsid w:val="00372AB1"/>
    <w:rsid w:val="003761C5"/>
    <w:rsid w:val="0038646A"/>
    <w:rsid w:val="00390C3D"/>
    <w:rsid w:val="003918D6"/>
    <w:rsid w:val="003940F7"/>
    <w:rsid w:val="00394B10"/>
    <w:rsid w:val="00395D4C"/>
    <w:rsid w:val="003A1587"/>
    <w:rsid w:val="003A2294"/>
    <w:rsid w:val="003A2692"/>
    <w:rsid w:val="003A4332"/>
    <w:rsid w:val="003B339E"/>
    <w:rsid w:val="003B68A3"/>
    <w:rsid w:val="003C1BEC"/>
    <w:rsid w:val="003D3CB1"/>
    <w:rsid w:val="003D4371"/>
    <w:rsid w:val="003D5BD0"/>
    <w:rsid w:val="003D6991"/>
    <w:rsid w:val="003E26AE"/>
    <w:rsid w:val="003E34FC"/>
    <w:rsid w:val="003E520C"/>
    <w:rsid w:val="003E6132"/>
    <w:rsid w:val="003E6566"/>
    <w:rsid w:val="003F2CB2"/>
    <w:rsid w:val="003F2D28"/>
    <w:rsid w:val="003F6200"/>
    <w:rsid w:val="003F6BAC"/>
    <w:rsid w:val="003F6FD3"/>
    <w:rsid w:val="00400366"/>
    <w:rsid w:val="00400B0E"/>
    <w:rsid w:val="00401ADE"/>
    <w:rsid w:val="0040233C"/>
    <w:rsid w:val="00402DD6"/>
    <w:rsid w:val="0041072B"/>
    <w:rsid w:val="004133FB"/>
    <w:rsid w:val="00413BD4"/>
    <w:rsid w:val="004223C2"/>
    <w:rsid w:val="0042342C"/>
    <w:rsid w:val="004240EA"/>
    <w:rsid w:val="004242CD"/>
    <w:rsid w:val="00425066"/>
    <w:rsid w:val="00431ABD"/>
    <w:rsid w:val="00436451"/>
    <w:rsid w:val="00436F5E"/>
    <w:rsid w:val="00442A75"/>
    <w:rsid w:val="00442ECE"/>
    <w:rsid w:val="00443B95"/>
    <w:rsid w:val="004453A6"/>
    <w:rsid w:val="00446244"/>
    <w:rsid w:val="004565EE"/>
    <w:rsid w:val="00462DC1"/>
    <w:rsid w:val="00463108"/>
    <w:rsid w:val="00465B35"/>
    <w:rsid w:val="004772CD"/>
    <w:rsid w:val="0048755C"/>
    <w:rsid w:val="004912A4"/>
    <w:rsid w:val="00492B59"/>
    <w:rsid w:val="0049302A"/>
    <w:rsid w:val="004930C3"/>
    <w:rsid w:val="00496F39"/>
    <w:rsid w:val="004A0475"/>
    <w:rsid w:val="004A2FCC"/>
    <w:rsid w:val="004A3644"/>
    <w:rsid w:val="004A44AF"/>
    <w:rsid w:val="004A454F"/>
    <w:rsid w:val="004A516C"/>
    <w:rsid w:val="004A63A5"/>
    <w:rsid w:val="004A6C2D"/>
    <w:rsid w:val="004B248C"/>
    <w:rsid w:val="004B4840"/>
    <w:rsid w:val="004B4C12"/>
    <w:rsid w:val="004C253E"/>
    <w:rsid w:val="004C36ED"/>
    <w:rsid w:val="004C3A30"/>
    <w:rsid w:val="004C3C0E"/>
    <w:rsid w:val="004C4D0F"/>
    <w:rsid w:val="004C4F22"/>
    <w:rsid w:val="004C5862"/>
    <w:rsid w:val="004D2277"/>
    <w:rsid w:val="004D296B"/>
    <w:rsid w:val="004D4A6A"/>
    <w:rsid w:val="004D763D"/>
    <w:rsid w:val="004E027B"/>
    <w:rsid w:val="004E2E33"/>
    <w:rsid w:val="004E379B"/>
    <w:rsid w:val="004E5D68"/>
    <w:rsid w:val="004F02A0"/>
    <w:rsid w:val="004F73E2"/>
    <w:rsid w:val="00500194"/>
    <w:rsid w:val="00500ACE"/>
    <w:rsid w:val="005052DD"/>
    <w:rsid w:val="005148D5"/>
    <w:rsid w:val="00521339"/>
    <w:rsid w:val="00523268"/>
    <w:rsid w:val="00523446"/>
    <w:rsid w:val="00523DAA"/>
    <w:rsid w:val="0052469C"/>
    <w:rsid w:val="0053011E"/>
    <w:rsid w:val="00541182"/>
    <w:rsid w:val="00545BC3"/>
    <w:rsid w:val="00545DF0"/>
    <w:rsid w:val="00546832"/>
    <w:rsid w:val="0055176F"/>
    <w:rsid w:val="00556198"/>
    <w:rsid w:val="00561D0C"/>
    <w:rsid w:val="00564A78"/>
    <w:rsid w:val="005658EC"/>
    <w:rsid w:val="0056638B"/>
    <w:rsid w:val="005709D5"/>
    <w:rsid w:val="005724C5"/>
    <w:rsid w:val="00576968"/>
    <w:rsid w:val="00581351"/>
    <w:rsid w:val="0058141E"/>
    <w:rsid w:val="00582ACB"/>
    <w:rsid w:val="00583070"/>
    <w:rsid w:val="005835BF"/>
    <w:rsid w:val="00591639"/>
    <w:rsid w:val="00595AEE"/>
    <w:rsid w:val="00595AF9"/>
    <w:rsid w:val="00596E53"/>
    <w:rsid w:val="005974C2"/>
    <w:rsid w:val="005A39AA"/>
    <w:rsid w:val="005A543A"/>
    <w:rsid w:val="005A5A26"/>
    <w:rsid w:val="005B0312"/>
    <w:rsid w:val="005C018F"/>
    <w:rsid w:val="005C2EAD"/>
    <w:rsid w:val="005C4C89"/>
    <w:rsid w:val="005C6C9F"/>
    <w:rsid w:val="005C7EB8"/>
    <w:rsid w:val="005E331E"/>
    <w:rsid w:val="005F0353"/>
    <w:rsid w:val="005F20A7"/>
    <w:rsid w:val="005F28AE"/>
    <w:rsid w:val="005F6C3A"/>
    <w:rsid w:val="006020AC"/>
    <w:rsid w:val="00602248"/>
    <w:rsid w:val="00605942"/>
    <w:rsid w:val="00611070"/>
    <w:rsid w:val="00615CED"/>
    <w:rsid w:val="00617223"/>
    <w:rsid w:val="0061798A"/>
    <w:rsid w:val="00617DFA"/>
    <w:rsid w:val="00620B0A"/>
    <w:rsid w:val="006210EC"/>
    <w:rsid w:val="00621372"/>
    <w:rsid w:val="00622024"/>
    <w:rsid w:val="00625E64"/>
    <w:rsid w:val="006300D1"/>
    <w:rsid w:val="00634FDC"/>
    <w:rsid w:val="00635CB4"/>
    <w:rsid w:val="00636F18"/>
    <w:rsid w:val="00643AE8"/>
    <w:rsid w:val="00644F8C"/>
    <w:rsid w:val="00650C50"/>
    <w:rsid w:val="00651C30"/>
    <w:rsid w:val="006565E7"/>
    <w:rsid w:val="00661745"/>
    <w:rsid w:val="00661E52"/>
    <w:rsid w:val="006632EB"/>
    <w:rsid w:val="0066720E"/>
    <w:rsid w:val="00671AFD"/>
    <w:rsid w:val="00672A10"/>
    <w:rsid w:val="00675941"/>
    <w:rsid w:val="006767AC"/>
    <w:rsid w:val="00684CC7"/>
    <w:rsid w:val="00686CA4"/>
    <w:rsid w:val="0069278D"/>
    <w:rsid w:val="00695614"/>
    <w:rsid w:val="006A22CE"/>
    <w:rsid w:val="006A2EE0"/>
    <w:rsid w:val="006A66CB"/>
    <w:rsid w:val="006B0ADD"/>
    <w:rsid w:val="006B1380"/>
    <w:rsid w:val="006B17A0"/>
    <w:rsid w:val="006B2BD0"/>
    <w:rsid w:val="006B53CC"/>
    <w:rsid w:val="006B55C8"/>
    <w:rsid w:val="006B5C78"/>
    <w:rsid w:val="006C657E"/>
    <w:rsid w:val="006D1133"/>
    <w:rsid w:val="006D462B"/>
    <w:rsid w:val="006D736D"/>
    <w:rsid w:val="006E355F"/>
    <w:rsid w:val="006E531D"/>
    <w:rsid w:val="006E5931"/>
    <w:rsid w:val="006F0C21"/>
    <w:rsid w:val="006F2028"/>
    <w:rsid w:val="006F2DD5"/>
    <w:rsid w:val="006F5AFB"/>
    <w:rsid w:val="006F74FF"/>
    <w:rsid w:val="00701F91"/>
    <w:rsid w:val="0070294E"/>
    <w:rsid w:val="00703143"/>
    <w:rsid w:val="007038F6"/>
    <w:rsid w:val="00706BFD"/>
    <w:rsid w:val="007101C3"/>
    <w:rsid w:val="0071109E"/>
    <w:rsid w:val="00712F5D"/>
    <w:rsid w:val="007156F2"/>
    <w:rsid w:val="007204E3"/>
    <w:rsid w:val="00721F35"/>
    <w:rsid w:val="00725E03"/>
    <w:rsid w:val="00727EA3"/>
    <w:rsid w:val="00732D5B"/>
    <w:rsid w:val="0073356E"/>
    <w:rsid w:val="0073464B"/>
    <w:rsid w:val="0073575A"/>
    <w:rsid w:val="00737E19"/>
    <w:rsid w:val="00742E75"/>
    <w:rsid w:val="00745BD4"/>
    <w:rsid w:val="00746192"/>
    <w:rsid w:val="00746FCA"/>
    <w:rsid w:val="00754D18"/>
    <w:rsid w:val="00755763"/>
    <w:rsid w:val="00770DF8"/>
    <w:rsid w:val="007715C2"/>
    <w:rsid w:val="00772DDB"/>
    <w:rsid w:val="00773E3A"/>
    <w:rsid w:val="00774536"/>
    <w:rsid w:val="00777919"/>
    <w:rsid w:val="00780C3A"/>
    <w:rsid w:val="0078489C"/>
    <w:rsid w:val="00785104"/>
    <w:rsid w:val="00787221"/>
    <w:rsid w:val="00787B10"/>
    <w:rsid w:val="00791C53"/>
    <w:rsid w:val="00795EA7"/>
    <w:rsid w:val="007A2871"/>
    <w:rsid w:val="007A3034"/>
    <w:rsid w:val="007A33B4"/>
    <w:rsid w:val="007A5F69"/>
    <w:rsid w:val="007A6121"/>
    <w:rsid w:val="007A6FE0"/>
    <w:rsid w:val="007B418E"/>
    <w:rsid w:val="007B608D"/>
    <w:rsid w:val="007C53A2"/>
    <w:rsid w:val="007C5464"/>
    <w:rsid w:val="007D1280"/>
    <w:rsid w:val="007D466E"/>
    <w:rsid w:val="007D4D75"/>
    <w:rsid w:val="007E16CB"/>
    <w:rsid w:val="007E2C10"/>
    <w:rsid w:val="007E5083"/>
    <w:rsid w:val="008072BC"/>
    <w:rsid w:val="00810741"/>
    <w:rsid w:val="008151C8"/>
    <w:rsid w:val="008173D8"/>
    <w:rsid w:val="00822F9D"/>
    <w:rsid w:val="00825360"/>
    <w:rsid w:val="008267EA"/>
    <w:rsid w:val="0082683E"/>
    <w:rsid w:val="00826A08"/>
    <w:rsid w:val="0083571F"/>
    <w:rsid w:val="00837006"/>
    <w:rsid w:val="00845ED3"/>
    <w:rsid w:val="00857004"/>
    <w:rsid w:val="008638D4"/>
    <w:rsid w:val="00865067"/>
    <w:rsid w:val="008651F6"/>
    <w:rsid w:val="00865F7B"/>
    <w:rsid w:val="0087023D"/>
    <w:rsid w:val="008716A7"/>
    <w:rsid w:val="00883399"/>
    <w:rsid w:val="008957A7"/>
    <w:rsid w:val="00896515"/>
    <w:rsid w:val="00896695"/>
    <w:rsid w:val="008A286D"/>
    <w:rsid w:val="008A2C1C"/>
    <w:rsid w:val="008A59AD"/>
    <w:rsid w:val="008A7071"/>
    <w:rsid w:val="008A74AD"/>
    <w:rsid w:val="008B282C"/>
    <w:rsid w:val="008B480C"/>
    <w:rsid w:val="008C11D8"/>
    <w:rsid w:val="008C1510"/>
    <w:rsid w:val="008C28AE"/>
    <w:rsid w:val="008C4391"/>
    <w:rsid w:val="008C5548"/>
    <w:rsid w:val="008C76B7"/>
    <w:rsid w:val="008D12A3"/>
    <w:rsid w:val="008D1A01"/>
    <w:rsid w:val="008D6D69"/>
    <w:rsid w:val="008E4916"/>
    <w:rsid w:val="008F126D"/>
    <w:rsid w:val="008F1947"/>
    <w:rsid w:val="008F1DC1"/>
    <w:rsid w:val="008F3564"/>
    <w:rsid w:val="008F5160"/>
    <w:rsid w:val="008F7435"/>
    <w:rsid w:val="008F7B19"/>
    <w:rsid w:val="0090241F"/>
    <w:rsid w:val="00911942"/>
    <w:rsid w:val="0091257E"/>
    <w:rsid w:val="00914CFC"/>
    <w:rsid w:val="00916FD4"/>
    <w:rsid w:val="00921ACB"/>
    <w:rsid w:val="00932B26"/>
    <w:rsid w:val="00933D46"/>
    <w:rsid w:val="00936BD2"/>
    <w:rsid w:val="00937EED"/>
    <w:rsid w:val="00945691"/>
    <w:rsid w:val="00945EB2"/>
    <w:rsid w:val="0095098C"/>
    <w:rsid w:val="009520EC"/>
    <w:rsid w:val="00952815"/>
    <w:rsid w:val="00954317"/>
    <w:rsid w:val="00955D47"/>
    <w:rsid w:val="009707DF"/>
    <w:rsid w:val="00974012"/>
    <w:rsid w:val="0097728A"/>
    <w:rsid w:val="00980B60"/>
    <w:rsid w:val="00987FB2"/>
    <w:rsid w:val="00995A39"/>
    <w:rsid w:val="009A14F1"/>
    <w:rsid w:val="009A51AE"/>
    <w:rsid w:val="009A61AA"/>
    <w:rsid w:val="009A64C9"/>
    <w:rsid w:val="009B08C8"/>
    <w:rsid w:val="009B6060"/>
    <w:rsid w:val="009C57CD"/>
    <w:rsid w:val="009D3742"/>
    <w:rsid w:val="009D3FD3"/>
    <w:rsid w:val="009E26B4"/>
    <w:rsid w:val="009E38BC"/>
    <w:rsid w:val="009E4CCC"/>
    <w:rsid w:val="009E5CF8"/>
    <w:rsid w:val="009F12D8"/>
    <w:rsid w:val="009F445D"/>
    <w:rsid w:val="009F4EE2"/>
    <w:rsid w:val="009F708B"/>
    <w:rsid w:val="00A06DA1"/>
    <w:rsid w:val="00A11188"/>
    <w:rsid w:val="00A11F07"/>
    <w:rsid w:val="00A160BD"/>
    <w:rsid w:val="00A20D4B"/>
    <w:rsid w:val="00A3198B"/>
    <w:rsid w:val="00A361B4"/>
    <w:rsid w:val="00A37736"/>
    <w:rsid w:val="00A469A4"/>
    <w:rsid w:val="00A611E8"/>
    <w:rsid w:val="00A64A03"/>
    <w:rsid w:val="00A718E9"/>
    <w:rsid w:val="00A7196C"/>
    <w:rsid w:val="00A723F1"/>
    <w:rsid w:val="00A73B44"/>
    <w:rsid w:val="00A7508E"/>
    <w:rsid w:val="00A768A3"/>
    <w:rsid w:val="00A77FBD"/>
    <w:rsid w:val="00A802F9"/>
    <w:rsid w:val="00A80492"/>
    <w:rsid w:val="00A82F82"/>
    <w:rsid w:val="00A83ADF"/>
    <w:rsid w:val="00A85DAE"/>
    <w:rsid w:val="00A86A24"/>
    <w:rsid w:val="00A9100D"/>
    <w:rsid w:val="00A96B6C"/>
    <w:rsid w:val="00AA014A"/>
    <w:rsid w:val="00AA0606"/>
    <w:rsid w:val="00AA158D"/>
    <w:rsid w:val="00AB2BD5"/>
    <w:rsid w:val="00AC1787"/>
    <w:rsid w:val="00AC20E0"/>
    <w:rsid w:val="00AD17BC"/>
    <w:rsid w:val="00AD27EE"/>
    <w:rsid w:val="00AE655E"/>
    <w:rsid w:val="00AF31D5"/>
    <w:rsid w:val="00AF65A0"/>
    <w:rsid w:val="00B01E22"/>
    <w:rsid w:val="00B045B6"/>
    <w:rsid w:val="00B05961"/>
    <w:rsid w:val="00B05BF6"/>
    <w:rsid w:val="00B06A03"/>
    <w:rsid w:val="00B1163B"/>
    <w:rsid w:val="00B12170"/>
    <w:rsid w:val="00B12BDD"/>
    <w:rsid w:val="00B14B0E"/>
    <w:rsid w:val="00B1534F"/>
    <w:rsid w:val="00B247CC"/>
    <w:rsid w:val="00B323F3"/>
    <w:rsid w:val="00B32EEC"/>
    <w:rsid w:val="00B3467E"/>
    <w:rsid w:val="00B42004"/>
    <w:rsid w:val="00B452FE"/>
    <w:rsid w:val="00B45614"/>
    <w:rsid w:val="00B46FD6"/>
    <w:rsid w:val="00B53C8D"/>
    <w:rsid w:val="00B565F3"/>
    <w:rsid w:val="00B65999"/>
    <w:rsid w:val="00B70A2C"/>
    <w:rsid w:val="00B7230A"/>
    <w:rsid w:val="00B83214"/>
    <w:rsid w:val="00B8472C"/>
    <w:rsid w:val="00B84F4E"/>
    <w:rsid w:val="00B90B22"/>
    <w:rsid w:val="00B91E1F"/>
    <w:rsid w:val="00B92FE0"/>
    <w:rsid w:val="00B94369"/>
    <w:rsid w:val="00B9500F"/>
    <w:rsid w:val="00BA1F96"/>
    <w:rsid w:val="00BA4CDA"/>
    <w:rsid w:val="00BA59A5"/>
    <w:rsid w:val="00BA68AC"/>
    <w:rsid w:val="00BB09E1"/>
    <w:rsid w:val="00BB1D1B"/>
    <w:rsid w:val="00BB1F1D"/>
    <w:rsid w:val="00BB25D7"/>
    <w:rsid w:val="00BC6003"/>
    <w:rsid w:val="00BC647F"/>
    <w:rsid w:val="00BC68B4"/>
    <w:rsid w:val="00BD3F5D"/>
    <w:rsid w:val="00BD4A71"/>
    <w:rsid w:val="00BE160C"/>
    <w:rsid w:val="00BE190D"/>
    <w:rsid w:val="00BE216F"/>
    <w:rsid w:val="00BE274E"/>
    <w:rsid w:val="00BE2B23"/>
    <w:rsid w:val="00BE4AB2"/>
    <w:rsid w:val="00BE4ECB"/>
    <w:rsid w:val="00BF073A"/>
    <w:rsid w:val="00BF0A5A"/>
    <w:rsid w:val="00BF0F26"/>
    <w:rsid w:val="00BF7A67"/>
    <w:rsid w:val="00C016D1"/>
    <w:rsid w:val="00C039E1"/>
    <w:rsid w:val="00C03F19"/>
    <w:rsid w:val="00C04F46"/>
    <w:rsid w:val="00C110D5"/>
    <w:rsid w:val="00C1497D"/>
    <w:rsid w:val="00C14C37"/>
    <w:rsid w:val="00C1660C"/>
    <w:rsid w:val="00C20AE2"/>
    <w:rsid w:val="00C21AFF"/>
    <w:rsid w:val="00C23E65"/>
    <w:rsid w:val="00C26D16"/>
    <w:rsid w:val="00C33BD9"/>
    <w:rsid w:val="00C34482"/>
    <w:rsid w:val="00C41320"/>
    <w:rsid w:val="00C41E83"/>
    <w:rsid w:val="00C55AF4"/>
    <w:rsid w:val="00C57C09"/>
    <w:rsid w:val="00C62516"/>
    <w:rsid w:val="00C646A1"/>
    <w:rsid w:val="00C64F78"/>
    <w:rsid w:val="00C70CB3"/>
    <w:rsid w:val="00C81E2F"/>
    <w:rsid w:val="00C82855"/>
    <w:rsid w:val="00C834C5"/>
    <w:rsid w:val="00C835AD"/>
    <w:rsid w:val="00C8428E"/>
    <w:rsid w:val="00C96EB3"/>
    <w:rsid w:val="00CA02A6"/>
    <w:rsid w:val="00CA55FD"/>
    <w:rsid w:val="00CA5694"/>
    <w:rsid w:val="00CA5E18"/>
    <w:rsid w:val="00CA6402"/>
    <w:rsid w:val="00CA74F6"/>
    <w:rsid w:val="00CA750A"/>
    <w:rsid w:val="00CB19B0"/>
    <w:rsid w:val="00CB227E"/>
    <w:rsid w:val="00CB4E56"/>
    <w:rsid w:val="00CB6073"/>
    <w:rsid w:val="00CC2FC0"/>
    <w:rsid w:val="00CC7944"/>
    <w:rsid w:val="00CD39A0"/>
    <w:rsid w:val="00CD5154"/>
    <w:rsid w:val="00CE33E6"/>
    <w:rsid w:val="00CE523B"/>
    <w:rsid w:val="00CF019E"/>
    <w:rsid w:val="00CF0E0B"/>
    <w:rsid w:val="00CF11FC"/>
    <w:rsid w:val="00D00B89"/>
    <w:rsid w:val="00D033DA"/>
    <w:rsid w:val="00D04A99"/>
    <w:rsid w:val="00D06B31"/>
    <w:rsid w:val="00D06E48"/>
    <w:rsid w:val="00D1005B"/>
    <w:rsid w:val="00D1400F"/>
    <w:rsid w:val="00D14707"/>
    <w:rsid w:val="00D149EA"/>
    <w:rsid w:val="00D20C50"/>
    <w:rsid w:val="00D20FB6"/>
    <w:rsid w:val="00D21229"/>
    <w:rsid w:val="00D26BDD"/>
    <w:rsid w:val="00D27146"/>
    <w:rsid w:val="00D32F29"/>
    <w:rsid w:val="00D36124"/>
    <w:rsid w:val="00D40076"/>
    <w:rsid w:val="00D43D3E"/>
    <w:rsid w:val="00D45A89"/>
    <w:rsid w:val="00D47874"/>
    <w:rsid w:val="00D521CA"/>
    <w:rsid w:val="00D53EEF"/>
    <w:rsid w:val="00D559FD"/>
    <w:rsid w:val="00D64C6F"/>
    <w:rsid w:val="00D65A7C"/>
    <w:rsid w:val="00D71986"/>
    <w:rsid w:val="00D746D6"/>
    <w:rsid w:val="00D76DFB"/>
    <w:rsid w:val="00D77618"/>
    <w:rsid w:val="00D82CE5"/>
    <w:rsid w:val="00D91447"/>
    <w:rsid w:val="00D91E88"/>
    <w:rsid w:val="00D968BB"/>
    <w:rsid w:val="00DA4321"/>
    <w:rsid w:val="00DA54D4"/>
    <w:rsid w:val="00DA6F5C"/>
    <w:rsid w:val="00DB600C"/>
    <w:rsid w:val="00DC3C20"/>
    <w:rsid w:val="00DC63C6"/>
    <w:rsid w:val="00DD363B"/>
    <w:rsid w:val="00DD59C3"/>
    <w:rsid w:val="00DE0003"/>
    <w:rsid w:val="00DE3BE6"/>
    <w:rsid w:val="00DE449A"/>
    <w:rsid w:val="00DE6A4F"/>
    <w:rsid w:val="00DE6D5F"/>
    <w:rsid w:val="00DE77BE"/>
    <w:rsid w:val="00DF08C5"/>
    <w:rsid w:val="00DF2170"/>
    <w:rsid w:val="00E02E6C"/>
    <w:rsid w:val="00E06672"/>
    <w:rsid w:val="00E06FF1"/>
    <w:rsid w:val="00E12833"/>
    <w:rsid w:val="00E16199"/>
    <w:rsid w:val="00E17B02"/>
    <w:rsid w:val="00E205E9"/>
    <w:rsid w:val="00E23872"/>
    <w:rsid w:val="00E238CE"/>
    <w:rsid w:val="00E25EA1"/>
    <w:rsid w:val="00E32F73"/>
    <w:rsid w:val="00E35FC4"/>
    <w:rsid w:val="00E36FB8"/>
    <w:rsid w:val="00E42FD2"/>
    <w:rsid w:val="00E43A06"/>
    <w:rsid w:val="00E45571"/>
    <w:rsid w:val="00E518B0"/>
    <w:rsid w:val="00E548A9"/>
    <w:rsid w:val="00E57A6C"/>
    <w:rsid w:val="00E623F6"/>
    <w:rsid w:val="00E62F7D"/>
    <w:rsid w:val="00E63702"/>
    <w:rsid w:val="00E717DA"/>
    <w:rsid w:val="00E71B36"/>
    <w:rsid w:val="00E740E4"/>
    <w:rsid w:val="00EA2B01"/>
    <w:rsid w:val="00EA3F04"/>
    <w:rsid w:val="00EA4BCC"/>
    <w:rsid w:val="00EB2597"/>
    <w:rsid w:val="00EB3832"/>
    <w:rsid w:val="00EB4D95"/>
    <w:rsid w:val="00EB6364"/>
    <w:rsid w:val="00EB69F2"/>
    <w:rsid w:val="00EC396D"/>
    <w:rsid w:val="00EC6B5C"/>
    <w:rsid w:val="00ED0000"/>
    <w:rsid w:val="00ED3122"/>
    <w:rsid w:val="00EE2A9F"/>
    <w:rsid w:val="00EE3E17"/>
    <w:rsid w:val="00EE4D1E"/>
    <w:rsid w:val="00EE5235"/>
    <w:rsid w:val="00EE62C3"/>
    <w:rsid w:val="00EF1E19"/>
    <w:rsid w:val="00EF23BC"/>
    <w:rsid w:val="00EF2945"/>
    <w:rsid w:val="00EF765D"/>
    <w:rsid w:val="00F00FB7"/>
    <w:rsid w:val="00F00FCA"/>
    <w:rsid w:val="00F0256D"/>
    <w:rsid w:val="00F0586F"/>
    <w:rsid w:val="00F062A1"/>
    <w:rsid w:val="00F06EF2"/>
    <w:rsid w:val="00F2338B"/>
    <w:rsid w:val="00F237F5"/>
    <w:rsid w:val="00F25CD0"/>
    <w:rsid w:val="00F335C6"/>
    <w:rsid w:val="00F37481"/>
    <w:rsid w:val="00F37B21"/>
    <w:rsid w:val="00F414A1"/>
    <w:rsid w:val="00F42226"/>
    <w:rsid w:val="00F44C6A"/>
    <w:rsid w:val="00F504B2"/>
    <w:rsid w:val="00F515CE"/>
    <w:rsid w:val="00F516AB"/>
    <w:rsid w:val="00F543AB"/>
    <w:rsid w:val="00F5778A"/>
    <w:rsid w:val="00F60B74"/>
    <w:rsid w:val="00F62AFD"/>
    <w:rsid w:val="00F80928"/>
    <w:rsid w:val="00F80AF8"/>
    <w:rsid w:val="00F80B7D"/>
    <w:rsid w:val="00F83CE6"/>
    <w:rsid w:val="00F876F5"/>
    <w:rsid w:val="00F9090E"/>
    <w:rsid w:val="00F91F7D"/>
    <w:rsid w:val="00F92761"/>
    <w:rsid w:val="00F942AC"/>
    <w:rsid w:val="00F973DD"/>
    <w:rsid w:val="00FA1E91"/>
    <w:rsid w:val="00FA2153"/>
    <w:rsid w:val="00FA5CD3"/>
    <w:rsid w:val="00FA7919"/>
    <w:rsid w:val="00FB0A6A"/>
    <w:rsid w:val="00FB2C85"/>
    <w:rsid w:val="00FB710A"/>
    <w:rsid w:val="00FC309F"/>
    <w:rsid w:val="00FC7A44"/>
    <w:rsid w:val="00FD5DEE"/>
    <w:rsid w:val="00FD7394"/>
    <w:rsid w:val="00FE257A"/>
    <w:rsid w:val="00FE50A1"/>
    <w:rsid w:val="00FE78FF"/>
    <w:rsid w:val="00FF3750"/>
    <w:rsid w:val="00FF5216"/>
    <w:rsid w:val="00FF7B0F"/>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4C"/>
    <w:rPr>
      <w:sz w:val="24"/>
      <w:szCs w:val="24"/>
      <w:lang w:val="ro-RO" w:eastAsia="ro-RO"/>
    </w:rPr>
  </w:style>
  <w:style w:type="paragraph" w:styleId="Heading1">
    <w:name w:val="heading 1"/>
    <w:basedOn w:val="Normal"/>
    <w:next w:val="Normal"/>
    <w:link w:val="Heading1Char"/>
    <w:uiPriority w:val="99"/>
    <w:qFormat/>
    <w:rsid w:val="00BB1F1D"/>
    <w:pPr>
      <w:keepNext/>
      <w:spacing w:line="360" w:lineRule="auto"/>
      <w:ind w:left="28"/>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C23E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0B8A"/>
    <w:rPr>
      <w:rFonts w:ascii="Cambria" w:hAnsi="Cambria" w:cs="Times New Roman"/>
      <w:b/>
      <w:kern w:val="32"/>
      <w:sz w:val="32"/>
      <w:lang w:val="ro-RO" w:eastAsia="ro-RO"/>
    </w:rPr>
  </w:style>
  <w:style w:type="character" w:customStyle="1" w:styleId="Heading2Char">
    <w:name w:val="Heading 2 Char"/>
    <w:link w:val="Heading2"/>
    <w:uiPriority w:val="99"/>
    <w:semiHidden/>
    <w:locked/>
    <w:rsid w:val="00100B8A"/>
    <w:rPr>
      <w:rFonts w:ascii="Cambria" w:hAnsi="Cambria" w:cs="Times New Roman"/>
      <w:b/>
      <w:i/>
      <w:sz w:val="28"/>
      <w:lang w:val="ro-RO" w:eastAsia="ro-RO"/>
    </w:rPr>
  </w:style>
  <w:style w:type="character" w:styleId="Strong">
    <w:name w:val="Strong"/>
    <w:uiPriority w:val="99"/>
    <w:qFormat/>
    <w:rsid w:val="00BB1F1D"/>
    <w:rPr>
      <w:rFonts w:cs="Times New Roman"/>
      <w:b/>
    </w:rPr>
  </w:style>
  <w:style w:type="paragraph" w:styleId="BodyText">
    <w:name w:val="Body Text"/>
    <w:basedOn w:val="Normal"/>
    <w:link w:val="BodyTextChar"/>
    <w:uiPriority w:val="99"/>
    <w:rsid w:val="000C23EF"/>
    <w:pPr>
      <w:jc w:val="both"/>
    </w:pPr>
  </w:style>
  <w:style w:type="character" w:customStyle="1" w:styleId="BodyTextChar">
    <w:name w:val="Body Text Char"/>
    <w:link w:val="BodyText"/>
    <w:uiPriority w:val="99"/>
    <w:semiHidden/>
    <w:locked/>
    <w:rsid w:val="00100B8A"/>
    <w:rPr>
      <w:rFonts w:cs="Times New Roman"/>
      <w:sz w:val="24"/>
      <w:lang w:val="ro-RO" w:eastAsia="ro-RO"/>
    </w:rPr>
  </w:style>
  <w:style w:type="paragraph" w:styleId="Footer">
    <w:name w:val="footer"/>
    <w:basedOn w:val="Normal"/>
    <w:link w:val="FooterChar"/>
    <w:uiPriority w:val="99"/>
    <w:rsid w:val="00D91447"/>
    <w:pPr>
      <w:tabs>
        <w:tab w:val="center" w:pos="4320"/>
        <w:tab w:val="right" w:pos="8640"/>
      </w:tabs>
    </w:pPr>
  </w:style>
  <w:style w:type="character" w:customStyle="1" w:styleId="FooterChar">
    <w:name w:val="Footer Char"/>
    <w:link w:val="Footer"/>
    <w:uiPriority w:val="99"/>
    <w:semiHidden/>
    <w:locked/>
    <w:rsid w:val="00100B8A"/>
    <w:rPr>
      <w:rFonts w:cs="Times New Roman"/>
      <w:sz w:val="24"/>
      <w:lang w:val="ro-RO" w:eastAsia="ro-RO"/>
    </w:rPr>
  </w:style>
  <w:style w:type="character" w:styleId="PageNumber">
    <w:name w:val="page number"/>
    <w:uiPriority w:val="99"/>
    <w:rsid w:val="00D91447"/>
    <w:rPr>
      <w:rFonts w:cs="Times New Roman"/>
    </w:rPr>
  </w:style>
  <w:style w:type="paragraph" w:styleId="Header">
    <w:name w:val="header"/>
    <w:basedOn w:val="Normal"/>
    <w:link w:val="HeaderChar"/>
    <w:uiPriority w:val="99"/>
    <w:rsid w:val="00ED3122"/>
    <w:pPr>
      <w:tabs>
        <w:tab w:val="center" w:pos="4680"/>
        <w:tab w:val="right" w:pos="9360"/>
      </w:tabs>
    </w:pPr>
    <w:rPr>
      <w:szCs w:val="20"/>
    </w:rPr>
  </w:style>
  <w:style w:type="character" w:customStyle="1" w:styleId="HeaderChar">
    <w:name w:val="Header Char"/>
    <w:link w:val="Header"/>
    <w:uiPriority w:val="99"/>
    <w:locked/>
    <w:rsid w:val="00ED3122"/>
    <w:rPr>
      <w:rFonts w:cs="Times New Roman"/>
      <w:sz w:val="24"/>
      <w:lang w:val="ro-RO" w:eastAsia="ro-RO"/>
    </w:rPr>
  </w:style>
  <w:style w:type="table" w:styleId="TableGrid">
    <w:name w:val="Table Grid"/>
    <w:basedOn w:val="TableNormal"/>
    <w:uiPriority w:val="99"/>
    <w:rsid w:val="006F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72233"/>
    <w:rPr>
      <w:rFonts w:ascii="Segoe UI" w:hAnsi="Segoe UI"/>
      <w:sz w:val="18"/>
      <w:szCs w:val="20"/>
    </w:rPr>
  </w:style>
  <w:style w:type="character" w:customStyle="1" w:styleId="BalloonTextChar">
    <w:name w:val="Balloon Text Char"/>
    <w:link w:val="BalloonText"/>
    <w:uiPriority w:val="99"/>
    <w:locked/>
    <w:rsid w:val="00272233"/>
    <w:rPr>
      <w:rFonts w:ascii="Segoe UI" w:hAnsi="Segoe UI" w:cs="Times New Roman"/>
      <w:sz w:val="18"/>
      <w:lang w:val="ro-RO" w:eastAsia="ro-RO"/>
    </w:rPr>
  </w:style>
  <w:style w:type="paragraph" w:styleId="ListParagraph">
    <w:name w:val="List Paragraph"/>
    <w:basedOn w:val="Normal"/>
    <w:uiPriority w:val="34"/>
    <w:qFormat/>
    <w:rsid w:val="00170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4C"/>
    <w:rPr>
      <w:sz w:val="24"/>
      <w:szCs w:val="24"/>
      <w:lang w:val="ro-RO" w:eastAsia="ro-RO"/>
    </w:rPr>
  </w:style>
  <w:style w:type="paragraph" w:styleId="Heading1">
    <w:name w:val="heading 1"/>
    <w:basedOn w:val="Normal"/>
    <w:next w:val="Normal"/>
    <w:link w:val="Heading1Char"/>
    <w:uiPriority w:val="99"/>
    <w:qFormat/>
    <w:rsid w:val="00BB1F1D"/>
    <w:pPr>
      <w:keepNext/>
      <w:spacing w:line="360" w:lineRule="auto"/>
      <w:ind w:left="28"/>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C23E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0B8A"/>
    <w:rPr>
      <w:rFonts w:ascii="Cambria" w:hAnsi="Cambria" w:cs="Times New Roman"/>
      <w:b/>
      <w:kern w:val="32"/>
      <w:sz w:val="32"/>
      <w:lang w:val="ro-RO" w:eastAsia="ro-RO"/>
    </w:rPr>
  </w:style>
  <w:style w:type="character" w:customStyle="1" w:styleId="Heading2Char">
    <w:name w:val="Heading 2 Char"/>
    <w:link w:val="Heading2"/>
    <w:uiPriority w:val="99"/>
    <w:semiHidden/>
    <w:locked/>
    <w:rsid w:val="00100B8A"/>
    <w:rPr>
      <w:rFonts w:ascii="Cambria" w:hAnsi="Cambria" w:cs="Times New Roman"/>
      <w:b/>
      <w:i/>
      <w:sz w:val="28"/>
      <w:lang w:val="ro-RO" w:eastAsia="ro-RO"/>
    </w:rPr>
  </w:style>
  <w:style w:type="character" w:styleId="Strong">
    <w:name w:val="Strong"/>
    <w:uiPriority w:val="99"/>
    <w:qFormat/>
    <w:rsid w:val="00BB1F1D"/>
    <w:rPr>
      <w:rFonts w:cs="Times New Roman"/>
      <w:b/>
    </w:rPr>
  </w:style>
  <w:style w:type="paragraph" w:styleId="BodyText">
    <w:name w:val="Body Text"/>
    <w:basedOn w:val="Normal"/>
    <w:link w:val="BodyTextChar"/>
    <w:uiPriority w:val="99"/>
    <w:rsid w:val="000C23EF"/>
    <w:pPr>
      <w:jc w:val="both"/>
    </w:pPr>
  </w:style>
  <w:style w:type="character" w:customStyle="1" w:styleId="BodyTextChar">
    <w:name w:val="Body Text Char"/>
    <w:link w:val="BodyText"/>
    <w:uiPriority w:val="99"/>
    <w:semiHidden/>
    <w:locked/>
    <w:rsid w:val="00100B8A"/>
    <w:rPr>
      <w:rFonts w:cs="Times New Roman"/>
      <w:sz w:val="24"/>
      <w:lang w:val="ro-RO" w:eastAsia="ro-RO"/>
    </w:rPr>
  </w:style>
  <w:style w:type="paragraph" w:styleId="Footer">
    <w:name w:val="footer"/>
    <w:basedOn w:val="Normal"/>
    <w:link w:val="FooterChar"/>
    <w:uiPriority w:val="99"/>
    <w:rsid w:val="00D91447"/>
    <w:pPr>
      <w:tabs>
        <w:tab w:val="center" w:pos="4320"/>
        <w:tab w:val="right" w:pos="8640"/>
      </w:tabs>
    </w:pPr>
  </w:style>
  <w:style w:type="character" w:customStyle="1" w:styleId="FooterChar">
    <w:name w:val="Footer Char"/>
    <w:link w:val="Footer"/>
    <w:uiPriority w:val="99"/>
    <w:semiHidden/>
    <w:locked/>
    <w:rsid w:val="00100B8A"/>
    <w:rPr>
      <w:rFonts w:cs="Times New Roman"/>
      <w:sz w:val="24"/>
      <w:lang w:val="ro-RO" w:eastAsia="ro-RO"/>
    </w:rPr>
  </w:style>
  <w:style w:type="character" w:styleId="PageNumber">
    <w:name w:val="page number"/>
    <w:uiPriority w:val="99"/>
    <w:rsid w:val="00D91447"/>
    <w:rPr>
      <w:rFonts w:cs="Times New Roman"/>
    </w:rPr>
  </w:style>
  <w:style w:type="paragraph" w:styleId="Header">
    <w:name w:val="header"/>
    <w:basedOn w:val="Normal"/>
    <w:link w:val="HeaderChar"/>
    <w:uiPriority w:val="99"/>
    <w:rsid w:val="00ED3122"/>
    <w:pPr>
      <w:tabs>
        <w:tab w:val="center" w:pos="4680"/>
        <w:tab w:val="right" w:pos="9360"/>
      </w:tabs>
    </w:pPr>
    <w:rPr>
      <w:szCs w:val="20"/>
    </w:rPr>
  </w:style>
  <w:style w:type="character" w:customStyle="1" w:styleId="HeaderChar">
    <w:name w:val="Header Char"/>
    <w:link w:val="Header"/>
    <w:uiPriority w:val="99"/>
    <w:locked/>
    <w:rsid w:val="00ED3122"/>
    <w:rPr>
      <w:rFonts w:cs="Times New Roman"/>
      <w:sz w:val="24"/>
      <w:lang w:val="ro-RO" w:eastAsia="ro-RO"/>
    </w:rPr>
  </w:style>
  <w:style w:type="table" w:styleId="TableGrid">
    <w:name w:val="Table Grid"/>
    <w:basedOn w:val="TableNormal"/>
    <w:uiPriority w:val="99"/>
    <w:rsid w:val="006F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72233"/>
    <w:rPr>
      <w:rFonts w:ascii="Segoe UI" w:hAnsi="Segoe UI"/>
      <w:sz w:val="18"/>
      <w:szCs w:val="20"/>
    </w:rPr>
  </w:style>
  <w:style w:type="character" w:customStyle="1" w:styleId="BalloonTextChar">
    <w:name w:val="Balloon Text Char"/>
    <w:link w:val="BalloonText"/>
    <w:uiPriority w:val="99"/>
    <w:locked/>
    <w:rsid w:val="00272233"/>
    <w:rPr>
      <w:rFonts w:ascii="Segoe UI" w:hAnsi="Segoe UI" w:cs="Times New Roman"/>
      <w:sz w:val="18"/>
      <w:lang w:val="ro-RO" w:eastAsia="ro-RO"/>
    </w:rPr>
  </w:style>
  <w:style w:type="paragraph" w:styleId="ListParagraph">
    <w:name w:val="List Paragraph"/>
    <w:basedOn w:val="Normal"/>
    <w:uiPriority w:val="34"/>
    <w:qFormat/>
    <w:rsid w:val="00170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008">
      <w:bodyDiv w:val="1"/>
      <w:marLeft w:val="0"/>
      <w:marRight w:val="0"/>
      <w:marTop w:val="0"/>
      <w:marBottom w:val="0"/>
      <w:divBdr>
        <w:top w:val="none" w:sz="0" w:space="0" w:color="auto"/>
        <w:left w:val="none" w:sz="0" w:space="0" w:color="auto"/>
        <w:bottom w:val="none" w:sz="0" w:space="0" w:color="auto"/>
        <w:right w:val="none" w:sz="0" w:space="0" w:color="auto"/>
      </w:divBdr>
    </w:div>
    <w:div w:id="304512602">
      <w:bodyDiv w:val="1"/>
      <w:marLeft w:val="0"/>
      <w:marRight w:val="0"/>
      <w:marTop w:val="0"/>
      <w:marBottom w:val="0"/>
      <w:divBdr>
        <w:top w:val="none" w:sz="0" w:space="0" w:color="auto"/>
        <w:left w:val="none" w:sz="0" w:space="0" w:color="auto"/>
        <w:bottom w:val="none" w:sz="0" w:space="0" w:color="auto"/>
        <w:right w:val="none" w:sz="0" w:space="0" w:color="auto"/>
      </w:divBdr>
    </w:div>
    <w:div w:id="357660778">
      <w:bodyDiv w:val="1"/>
      <w:marLeft w:val="0"/>
      <w:marRight w:val="0"/>
      <w:marTop w:val="0"/>
      <w:marBottom w:val="0"/>
      <w:divBdr>
        <w:top w:val="none" w:sz="0" w:space="0" w:color="auto"/>
        <w:left w:val="none" w:sz="0" w:space="0" w:color="auto"/>
        <w:bottom w:val="none" w:sz="0" w:space="0" w:color="auto"/>
        <w:right w:val="none" w:sz="0" w:space="0" w:color="auto"/>
      </w:divBdr>
    </w:div>
    <w:div w:id="416483757">
      <w:bodyDiv w:val="1"/>
      <w:marLeft w:val="0"/>
      <w:marRight w:val="0"/>
      <w:marTop w:val="0"/>
      <w:marBottom w:val="0"/>
      <w:divBdr>
        <w:top w:val="none" w:sz="0" w:space="0" w:color="auto"/>
        <w:left w:val="none" w:sz="0" w:space="0" w:color="auto"/>
        <w:bottom w:val="none" w:sz="0" w:space="0" w:color="auto"/>
        <w:right w:val="none" w:sz="0" w:space="0" w:color="auto"/>
      </w:divBdr>
    </w:div>
    <w:div w:id="524906012">
      <w:bodyDiv w:val="1"/>
      <w:marLeft w:val="0"/>
      <w:marRight w:val="0"/>
      <w:marTop w:val="0"/>
      <w:marBottom w:val="0"/>
      <w:divBdr>
        <w:top w:val="none" w:sz="0" w:space="0" w:color="auto"/>
        <w:left w:val="none" w:sz="0" w:space="0" w:color="auto"/>
        <w:bottom w:val="none" w:sz="0" w:space="0" w:color="auto"/>
        <w:right w:val="none" w:sz="0" w:space="0" w:color="auto"/>
      </w:divBdr>
    </w:div>
    <w:div w:id="594554356">
      <w:bodyDiv w:val="1"/>
      <w:marLeft w:val="0"/>
      <w:marRight w:val="0"/>
      <w:marTop w:val="0"/>
      <w:marBottom w:val="0"/>
      <w:divBdr>
        <w:top w:val="none" w:sz="0" w:space="0" w:color="auto"/>
        <w:left w:val="none" w:sz="0" w:space="0" w:color="auto"/>
        <w:bottom w:val="none" w:sz="0" w:space="0" w:color="auto"/>
        <w:right w:val="none" w:sz="0" w:space="0" w:color="auto"/>
      </w:divBdr>
    </w:div>
    <w:div w:id="625896471">
      <w:bodyDiv w:val="1"/>
      <w:marLeft w:val="0"/>
      <w:marRight w:val="0"/>
      <w:marTop w:val="0"/>
      <w:marBottom w:val="0"/>
      <w:divBdr>
        <w:top w:val="none" w:sz="0" w:space="0" w:color="auto"/>
        <w:left w:val="none" w:sz="0" w:space="0" w:color="auto"/>
        <w:bottom w:val="none" w:sz="0" w:space="0" w:color="auto"/>
        <w:right w:val="none" w:sz="0" w:space="0" w:color="auto"/>
      </w:divBdr>
    </w:div>
    <w:div w:id="843665533">
      <w:bodyDiv w:val="1"/>
      <w:marLeft w:val="0"/>
      <w:marRight w:val="0"/>
      <w:marTop w:val="0"/>
      <w:marBottom w:val="0"/>
      <w:divBdr>
        <w:top w:val="none" w:sz="0" w:space="0" w:color="auto"/>
        <w:left w:val="none" w:sz="0" w:space="0" w:color="auto"/>
        <w:bottom w:val="none" w:sz="0" w:space="0" w:color="auto"/>
        <w:right w:val="none" w:sz="0" w:space="0" w:color="auto"/>
      </w:divBdr>
    </w:div>
    <w:div w:id="860508470">
      <w:bodyDiv w:val="1"/>
      <w:marLeft w:val="0"/>
      <w:marRight w:val="0"/>
      <w:marTop w:val="0"/>
      <w:marBottom w:val="0"/>
      <w:divBdr>
        <w:top w:val="none" w:sz="0" w:space="0" w:color="auto"/>
        <w:left w:val="none" w:sz="0" w:space="0" w:color="auto"/>
        <w:bottom w:val="none" w:sz="0" w:space="0" w:color="auto"/>
        <w:right w:val="none" w:sz="0" w:space="0" w:color="auto"/>
      </w:divBdr>
    </w:div>
    <w:div w:id="869759290">
      <w:bodyDiv w:val="1"/>
      <w:marLeft w:val="0"/>
      <w:marRight w:val="0"/>
      <w:marTop w:val="0"/>
      <w:marBottom w:val="0"/>
      <w:divBdr>
        <w:top w:val="none" w:sz="0" w:space="0" w:color="auto"/>
        <w:left w:val="none" w:sz="0" w:space="0" w:color="auto"/>
        <w:bottom w:val="none" w:sz="0" w:space="0" w:color="auto"/>
        <w:right w:val="none" w:sz="0" w:space="0" w:color="auto"/>
      </w:divBdr>
    </w:div>
    <w:div w:id="882863588">
      <w:bodyDiv w:val="1"/>
      <w:marLeft w:val="0"/>
      <w:marRight w:val="0"/>
      <w:marTop w:val="0"/>
      <w:marBottom w:val="0"/>
      <w:divBdr>
        <w:top w:val="none" w:sz="0" w:space="0" w:color="auto"/>
        <w:left w:val="none" w:sz="0" w:space="0" w:color="auto"/>
        <w:bottom w:val="none" w:sz="0" w:space="0" w:color="auto"/>
        <w:right w:val="none" w:sz="0" w:space="0" w:color="auto"/>
      </w:divBdr>
    </w:div>
    <w:div w:id="951321732">
      <w:bodyDiv w:val="1"/>
      <w:marLeft w:val="0"/>
      <w:marRight w:val="0"/>
      <w:marTop w:val="0"/>
      <w:marBottom w:val="0"/>
      <w:divBdr>
        <w:top w:val="none" w:sz="0" w:space="0" w:color="auto"/>
        <w:left w:val="none" w:sz="0" w:space="0" w:color="auto"/>
        <w:bottom w:val="none" w:sz="0" w:space="0" w:color="auto"/>
        <w:right w:val="none" w:sz="0" w:space="0" w:color="auto"/>
      </w:divBdr>
    </w:div>
    <w:div w:id="1031030005">
      <w:bodyDiv w:val="1"/>
      <w:marLeft w:val="0"/>
      <w:marRight w:val="0"/>
      <w:marTop w:val="0"/>
      <w:marBottom w:val="0"/>
      <w:divBdr>
        <w:top w:val="none" w:sz="0" w:space="0" w:color="auto"/>
        <w:left w:val="none" w:sz="0" w:space="0" w:color="auto"/>
        <w:bottom w:val="none" w:sz="0" w:space="0" w:color="auto"/>
        <w:right w:val="none" w:sz="0" w:space="0" w:color="auto"/>
      </w:divBdr>
    </w:div>
    <w:div w:id="1058866174">
      <w:bodyDiv w:val="1"/>
      <w:marLeft w:val="0"/>
      <w:marRight w:val="0"/>
      <w:marTop w:val="0"/>
      <w:marBottom w:val="0"/>
      <w:divBdr>
        <w:top w:val="none" w:sz="0" w:space="0" w:color="auto"/>
        <w:left w:val="none" w:sz="0" w:space="0" w:color="auto"/>
        <w:bottom w:val="none" w:sz="0" w:space="0" w:color="auto"/>
        <w:right w:val="none" w:sz="0" w:space="0" w:color="auto"/>
      </w:divBdr>
    </w:div>
    <w:div w:id="1107653463">
      <w:bodyDiv w:val="1"/>
      <w:marLeft w:val="0"/>
      <w:marRight w:val="0"/>
      <w:marTop w:val="0"/>
      <w:marBottom w:val="0"/>
      <w:divBdr>
        <w:top w:val="none" w:sz="0" w:space="0" w:color="auto"/>
        <w:left w:val="none" w:sz="0" w:space="0" w:color="auto"/>
        <w:bottom w:val="none" w:sz="0" w:space="0" w:color="auto"/>
        <w:right w:val="none" w:sz="0" w:space="0" w:color="auto"/>
      </w:divBdr>
    </w:div>
    <w:div w:id="1136993237">
      <w:bodyDiv w:val="1"/>
      <w:marLeft w:val="0"/>
      <w:marRight w:val="0"/>
      <w:marTop w:val="0"/>
      <w:marBottom w:val="0"/>
      <w:divBdr>
        <w:top w:val="none" w:sz="0" w:space="0" w:color="auto"/>
        <w:left w:val="none" w:sz="0" w:space="0" w:color="auto"/>
        <w:bottom w:val="none" w:sz="0" w:space="0" w:color="auto"/>
        <w:right w:val="none" w:sz="0" w:space="0" w:color="auto"/>
      </w:divBdr>
    </w:div>
    <w:div w:id="1217399671">
      <w:bodyDiv w:val="1"/>
      <w:marLeft w:val="0"/>
      <w:marRight w:val="0"/>
      <w:marTop w:val="0"/>
      <w:marBottom w:val="0"/>
      <w:divBdr>
        <w:top w:val="none" w:sz="0" w:space="0" w:color="auto"/>
        <w:left w:val="none" w:sz="0" w:space="0" w:color="auto"/>
        <w:bottom w:val="none" w:sz="0" w:space="0" w:color="auto"/>
        <w:right w:val="none" w:sz="0" w:space="0" w:color="auto"/>
      </w:divBdr>
    </w:div>
    <w:div w:id="1296566632">
      <w:bodyDiv w:val="1"/>
      <w:marLeft w:val="0"/>
      <w:marRight w:val="0"/>
      <w:marTop w:val="0"/>
      <w:marBottom w:val="0"/>
      <w:divBdr>
        <w:top w:val="none" w:sz="0" w:space="0" w:color="auto"/>
        <w:left w:val="none" w:sz="0" w:space="0" w:color="auto"/>
        <w:bottom w:val="none" w:sz="0" w:space="0" w:color="auto"/>
        <w:right w:val="none" w:sz="0" w:space="0" w:color="auto"/>
      </w:divBdr>
    </w:div>
    <w:div w:id="1314069072">
      <w:bodyDiv w:val="1"/>
      <w:marLeft w:val="0"/>
      <w:marRight w:val="0"/>
      <w:marTop w:val="0"/>
      <w:marBottom w:val="0"/>
      <w:divBdr>
        <w:top w:val="none" w:sz="0" w:space="0" w:color="auto"/>
        <w:left w:val="none" w:sz="0" w:space="0" w:color="auto"/>
        <w:bottom w:val="none" w:sz="0" w:space="0" w:color="auto"/>
        <w:right w:val="none" w:sz="0" w:space="0" w:color="auto"/>
      </w:divBdr>
    </w:div>
    <w:div w:id="1324432392">
      <w:bodyDiv w:val="1"/>
      <w:marLeft w:val="0"/>
      <w:marRight w:val="0"/>
      <w:marTop w:val="0"/>
      <w:marBottom w:val="0"/>
      <w:divBdr>
        <w:top w:val="none" w:sz="0" w:space="0" w:color="auto"/>
        <w:left w:val="none" w:sz="0" w:space="0" w:color="auto"/>
        <w:bottom w:val="none" w:sz="0" w:space="0" w:color="auto"/>
        <w:right w:val="none" w:sz="0" w:space="0" w:color="auto"/>
      </w:divBdr>
    </w:div>
    <w:div w:id="1354267266">
      <w:bodyDiv w:val="1"/>
      <w:marLeft w:val="0"/>
      <w:marRight w:val="0"/>
      <w:marTop w:val="0"/>
      <w:marBottom w:val="0"/>
      <w:divBdr>
        <w:top w:val="none" w:sz="0" w:space="0" w:color="auto"/>
        <w:left w:val="none" w:sz="0" w:space="0" w:color="auto"/>
        <w:bottom w:val="none" w:sz="0" w:space="0" w:color="auto"/>
        <w:right w:val="none" w:sz="0" w:space="0" w:color="auto"/>
      </w:divBdr>
    </w:div>
    <w:div w:id="1514804981">
      <w:bodyDiv w:val="1"/>
      <w:marLeft w:val="0"/>
      <w:marRight w:val="0"/>
      <w:marTop w:val="0"/>
      <w:marBottom w:val="0"/>
      <w:divBdr>
        <w:top w:val="none" w:sz="0" w:space="0" w:color="auto"/>
        <w:left w:val="none" w:sz="0" w:space="0" w:color="auto"/>
        <w:bottom w:val="none" w:sz="0" w:space="0" w:color="auto"/>
        <w:right w:val="none" w:sz="0" w:space="0" w:color="auto"/>
      </w:divBdr>
    </w:div>
    <w:div w:id="1547256694">
      <w:bodyDiv w:val="1"/>
      <w:marLeft w:val="0"/>
      <w:marRight w:val="0"/>
      <w:marTop w:val="0"/>
      <w:marBottom w:val="0"/>
      <w:divBdr>
        <w:top w:val="none" w:sz="0" w:space="0" w:color="auto"/>
        <w:left w:val="none" w:sz="0" w:space="0" w:color="auto"/>
        <w:bottom w:val="none" w:sz="0" w:space="0" w:color="auto"/>
        <w:right w:val="none" w:sz="0" w:space="0" w:color="auto"/>
      </w:divBdr>
    </w:div>
    <w:div w:id="1599363153">
      <w:bodyDiv w:val="1"/>
      <w:marLeft w:val="0"/>
      <w:marRight w:val="0"/>
      <w:marTop w:val="0"/>
      <w:marBottom w:val="0"/>
      <w:divBdr>
        <w:top w:val="none" w:sz="0" w:space="0" w:color="auto"/>
        <w:left w:val="none" w:sz="0" w:space="0" w:color="auto"/>
        <w:bottom w:val="none" w:sz="0" w:space="0" w:color="auto"/>
        <w:right w:val="none" w:sz="0" w:space="0" w:color="auto"/>
      </w:divBdr>
    </w:div>
    <w:div w:id="1644694205">
      <w:bodyDiv w:val="1"/>
      <w:marLeft w:val="0"/>
      <w:marRight w:val="0"/>
      <w:marTop w:val="0"/>
      <w:marBottom w:val="0"/>
      <w:divBdr>
        <w:top w:val="none" w:sz="0" w:space="0" w:color="auto"/>
        <w:left w:val="none" w:sz="0" w:space="0" w:color="auto"/>
        <w:bottom w:val="none" w:sz="0" w:space="0" w:color="auto"/>
        <w:right w:val="none" w:sz="0" w:space="0" w:color="auto"/>
      </w:divBdr>
    </w:div>
    <w:div w:id="1695110507">
      <w:bodyDiv w:val="1"/>
      <w:marLeft w:val="0"/>
      <w:marRight w:val="0"/>
      <w:marTop w:val="0"/>
      <w:marBottom w:val="0"/>
      <w:divBdr>
        <w:top w:val="none" w:sz="0" w:space="0" w:color="auto"/>
        <w:left w:val="none" w:sz="0" w:space="0" w:color="auto"/>
        <w:bottom w:val="none" w:sz="0" w:space="0" w:color="auto"/>
        <w:right w:val="none" w:sz="0" w:space="0" w:color="auto"/>
      </w:divBdr>
    </w:div>
    <w:div w:id="1783496882">
      <w:bodyDiv w:val="1"/>
      <w:marLeft w:val="0"/>
      <w:marRight w:val="0"/>
      <w:marTop w:val="0"/>
      <w:marBottom w:val="0"/>
      <w:divBdr>
        <w:top w:val="none" w:sz="0" w:space="0" w:color="auto"/>
        <w:left w:val="none" w:sz="0" w:space="0" w:color="auto"/>
        <w:bottom w:val="none" w:sz="0" w:space="0" w:color="auto"/>
        <w:right w:val="none" w:sz="0" w:space="0" w:color="auto"/>
      </w:divBdr>
    </w:div>
    <w:div w:id="1864368361">
      <w:bodyDiv w:val="1"/>
      <w:marLeft w:val="0"/>
      <w:marRight w:val="0"/>
      <w:marTop w:val="0"/>
      <w:marBottom w:val="0"/>
      <w:divBdr>
        <w:top w:val="none" w:sz="0" w:space="0" w:color="auto"/>
        <w:left w:val="none" w:sz="0" w:space="0" w:color="auto"/>
        <w:bottom w:val="none" w:sz="0" w:space="0" w:color="auto"/>
        <w:right w:val="none" w:sz="0" w:space="0" w:color="auto"/>
      </w:divBdr>
    </w:div>
    <w:div w:id="1908374989">
      <w:bodyDiv w:val="1"/>
      <w:marLeft w:val="0"/>
      <w:marRight w:val="0"/>
      <w:marTop w:val="0"/>
      <w:marBottom w:val="0"/>
      <w:divBdr>
        <w:top w:val="none" w:sz="0" w:space="0" w:color="auto"/>
        <w:left w:val="none" w:sz="0" w:space="0" w:color="auto"/>
        <w:bottom w:val="none" w:sz="0" w:space="0" w:color="auto"/>
        <w:right w:val="none" w:sz="0" w:space="0" w:color="auto"/>
      </w:divBdr>
    </w:div>
    <w:div w:id="1967200899">
      <w:marLeft w:val="0"/>
      <w:marRight w:val="0"/>
      <w:marTop w:val="0"/>
      <w:marBottom w:val="0"/>
      <w:divBdr>
        <w:top w:val="none" w:sz="0" w:space="0" w:color="auto"/>
        <w:left w:val="none" w:sz="0" w:space="0" w:color="auto"/>
        <w:bottom w:val="none" w:sz="0" w:space="0" w:color="auto"/>
        <w:right w:val="none" w:sz="0" w:space="0" w:color="auto"/>
      </w:divBdr>
    </w:div>
    <w:div w:id="1967200900">
      <w:marLeft w:val="0"/>
      <w:marRight w:val="0"/>
      <w:marTop w:val="0"/>
      <w:marBottom w:val="0"/>
      <w:divBdr>
        <w:top w:val="none" w:sz="0" w:space="0" w:color="auto"/>
        <w:left w:val="none" w:sz="0" w:space="0" w:color="auto"/>
        <w:bottom w:val="none" w:sz="0" w:space="0" w:color="auto"/>
        <w:right w:val="none" w:sz="0" w:space="0" w:color="auto"/>
      </w:divBdr>
    </w:div>
    <w:div w:id="1967200901">
      <w:marLeft w:val="0"/>
      <w:marRight w:val="0"/>
      <w:marTop w:val="0"/>
      <w:marBottom w:val="0"/>
      <w:divBdr>
        <w:top w:val="none" w:sz="0" w:space="0" w:color="auto"/>
        <w:left w:val="none" w:sz="0" w:space="0" w:color="auto"/>
        <w:bottom w:val="none" w:sz="0" w:space="0" w:color="auto"/>
        <w:right w:val="none" w:sz="0" w:space="0" w:color="auto"/>
      </w:divBdr>
    </w:div>
    <w:div w:id="1967200902">
      <w:marLeft w:val="0"/>
      <w:marRight w:val="0"/>
      <w:marTop w:val="0"/>
      <w:marBottom w:val="0"/>
      <w:divBdr>
        <w:top w:val="none" w:sz="0" w:space="0" w:color="auto"/>
        <w:left w:val="none" w:sz="0" w:space="0" w:color="auto"/>
        <w:bottom w:val="none" w:sz="0" w:space="0" w:color="auto"/>
        <w:right w:val="none" w:sz="0" w:space="0" w:color="auto"/>
      </w:divBdr>
    </w:div>
    <w:div w:id="1967200903">
      <w:marLeft w:val="0"/>
      <w:marRight w:val="0"/>
      <w:marTop w:val="0"/>
      <w:marBottom w:val="0"/>
      <w:divBdr>
        <w:top w:val="none" w:sz="0" w:space="0" w:color="auto"/>
        <w:left w:val="none" w:sz="0" w:space="0" w:color="auto"/>
        <w:bottom w:val="none" w:sz="0" w:space="0" w:color="auto"/>
        <w:right w:val="none" w:sz="0" w:space="0" w:color="auto"/>
      </w:divBdr>
    </w:div>
    <w:div w:id="1967200904">
      <w:marLeft w:val="0"/>
      <w:marRight w:val="0"/>
      <w:marTop w:val="0"/>
      <w:marBottom w:val="0"/>
      <w:divBdr>
        <w:top w:val="none" w:sz="0" w:space="0" w:color="auto"/>
        <w:left w:val="none" w:sz="0" w:space="0" w:color="auto"/>
        <w:bottom w:val="none" w:sz="0" w:space="0" w:color="auto"/>
        <w:right w:val="none" w:sz="0" w:space="0" w:color="auto"/>
      </w:divBdr>
    </w:div>
    <w:div w:id="1967200905">
      <w:marLeft w:val="0"/>
      <w:marRight w:val="0"/>
      <w:marTop w:val="0"/>
      <w:marBottom w:val="0"/>
      <w:divBdr>
        <w:top w:val="none" w:sz="0" w:space="0" w:color="auto"/>
        <w:left w:val="none" w:sz="0" w:space="0" w:color="auto"/>
        <w:bottom w:val="none" w:sz="0" w:space="0" w:color="auto"/>
        <w:right w:val="none" w:sz="0" w:space="0" w:color="auto"/>
      </w:divBdr>
    </w:div>
    <w:div w:id="1967200906">
      <w:marLeft w:val="0"/>
      <w:marRight w:val="0"/>
      <w:marTop w:val="0"/>
      <w:marBottom w:val="0"/>
      <w:divBdr>
        <w:top w:val="none" w:sz="0" w:space="0" w:color="auto"/>
        <w:left w:val="none" w:sz="0" w:space="0" w:color="auto"/>
        <w:bottom w:val="none" w:sz="0" w:space="0" w:color="auto"/>
        <w:right w:val="none" w:sz="0" w:space="0" w:color="auto"/>
      </w:divBdr>
    </w:div>
    <w:div w:id="1967200907">
      <w:marLeft w:val="0"/>
      <w:marRight w:val="0"/>
      <w:marTop w:val="0"/>
      <w:marBottom w:val="0"/>
      <w:divBdr>
        <w:top w:val="none" w:sz="0" w:space="0" w:color="auto"/>
        <w:left w:val="none" w:sz="0" w:space="0" w:color="auto"/>
        <w:bottom w:val="none" w:sz="0" w:space="0" w:color="auto"/>
        <w:right w:val="none" w:sz="0" w:space="0" w:color="auto"/>
      </w:divBdr>
    </w:div>
    <w:div w:id="1967200908">
      <w:marLeft w:val="0"/>
      <w:marRight w:val="0"/>
      <w:marTop w:val="0"/>
      <w:marBottom w:val="0"/>
      <w:divBdr>
        <w:top w:val="none" w:sz="0" w:space="0" w:color="auto"/>
        <w:left w:val="none" w:sz="0" w:space="0" w:color="auto"/>
        <w:bottom w:val="none" w:sz="0" w:space="0" w:color="auto"/>
        <w:right w:val="none" w:sz="0" w:space="0" w:color="auto"/>
      </w:divBdr>
    </w:div>
    <w:div w:id="1967200909">
      <w:marLeft w:val="0"/>
      <w:marRight w:val="0"/>
      <w:marTop w:val="0"/>
      <w:marBottom w:val="0"/>
      <w:divBdr>
        <w:top w:val="none" w:sz="0" w:space="0" w:color="auto"/>
        <w:left w:val="none" w:sz="0" w:space="0" w:color="auto"/>
        <w:bottom w:val="none" w:sz="0" w:space="0" w:color="auto"/>
        <w:right w:val="none" w:sz="0" w:space="0" w:color="auto"/>
      </w:divBdr>
    </w:div>
    <w:div w:id="1967200910">
      <w:marLeft w:val="0"/>
      <w:marRight w:val="0"/>
      <w:marTop w:val="0"/>
      <w:marBottom w:val="0"/>
      <w:divBdr>
        <w:top w:val="none" w:sz="0" w:space="0" w:color="auto"/>
        <w:left w:val="none" w:sz="0" w:space="0" w:color="auto"/>
        <w:bottom w:val="none" w:sz="0" w:space="0" w:color="auto"/>
        <w:right w:val="none" w:sz="0" w:space="0" w:color="auto"/>
      </w:divBdr>
    </w:div>
    <w:div w:id="1967200911">
      <w:marLeft w:val="0"/>
      <w:marRight w:val="0"/>
      <w:marTop w:val="0"/>
      <w:marBottom w:val="0"/>
      <w:divBdr>
        <w:top w:val="none" w:sz="0" w:space="0" w:color="auto"/>
        <w:left w:val="none" w:sz="0" w:space="0" w:color="auto"/>
        <w:bottom w:val="none" w:sz="0" w:space="0" w:color="auto"/>
        <w:right w:val="none" w:sz="0" w:space="0" w:color="auto"/>
      </w:divBdr>
    </w:div>
    <w:div w:id="1967200912">
      <w:marLeft w:val="0"/>
      <w:marRight w:val="0"/>
      <w:marTop w:val="0"/>
      <w:marBottom w:val="0"/>
      <w:divBdr>
        <w:top w:val="none" w:sz="0" w:space="0" w:color="auto"/>
        <w:left w:val="none" w:sz="0" w:space="0" w:color="auto"/>
        <w:bottom w:val="none" w:sz="0" w:space="0" w:color="auto"/>
        <w:right w:val="none" w:sz="0" w:space="0" w:color="auto"/>
      </w:divBdr>
    </w:div>
    <w:div w:id="1967200913">
      <w:marLeft w:val="0"/>
      <w:marRight w:val="0"/>
      <w:marTop w:val="0"/>
      <w:marBottom w:val="0"/>
      <w:divBdr>
        <w:top w:val="none" w:sz="0" w:space="0" w:color="auto"/>
        <w:left w:val="none" w:sz="0" w:space="0" w:color="auto"/>
        <w:bottom w:val="none" w:sz="0" w:space="0" w:color="auto"/>
        <w:right w:val="none" w:sz="0" w:space="0" w:color="auto"/>
      </w:divBdr>
    </w:div>
    <w:div w:id="1967200914">
      <w:marLeft w:val="0"/>
      <w:marRight w:val="0"/>
      <w:marTop w:val="0"/>
      <w:marBottom w:val="0"/>
      <w:divBdr>
        <w:top w:val="none" w:sz="0" w:space="0" w:color="auto"/>
        <w:left w:val="none" w:sz="0" w:space="0" w:color="auto"/>
        <w:bottom w:val="none" w:sz="0" w:space="0" w:color="auto"/>
        <w:right w:val="none" w:sz="0" w:space="0" w:color="auto"/>
      </w:divBdr>
    </w:div>
    <w:div w:id="1967200915">
      <w:marLeft w:val="0"/>
      <w:marRight w:val="0"/>
      <w:marTop w:val="0"/>
      <w:marBottom w:val="0"/>
      <w:divBdr>
        <w:top w:val="none" w:sz="0" w:space="0" w:color="auto"/>
        <w:left w:val="none" w:sz="0" w:space="0" w:color="auto"/>
        <w:bottom w:val="none" w:sz="0" w:space="0" w:color="auto"/>
        <w:right w:val="none" w:sz="0" w:space="0" w:color="auto"/>
      </w:divBdr>
    </w:div>
    <w:div w:id="1967200916">
      <w:marLeft w:val="0"/>
      <w:marRight w:val="0"/>
      <w:marTop w:val="0"/>
      <w:marBottom w:val="0"/>
      <w:divBdr>
        <w:top w:val="none" w:sz="0" w:space="0" w:color="auto"/>
        <w:left w:val="none" w:sz="0" w:space="0" w:color="auto"/>
        <w:bottom w:val="none" w:sz="0" w:space="0" w:color="auto"/>
        <w:right w:val="none" w:sz="0" w:space="0" w:color="auto"/>
      </w:divBdr>
    </w:div>
    <w:div w:id="1967200917">
      <w:marLeft w:val="0"/>
      <w:marRight w:val="0"/>
      <w:marTop w:val="0"/>
      <w:marBottom w:val="0"/>
      <w:divBdr>
        <w:top w:val="none" w:sz="0" w:space="0" w:color="auto"/>
        <w:left w:val="none" w:sz="0" w:space="0" w:color="auto"/>
        <w:bottom w:val="none" w:sz="0" w:space="0" w:color="auto"/>
        <w:right w:val="none" w:sz="0" w:space="0" w:color="auto"/>
      </w:divBdr>
    </w:div>
    <w:div w:id="1967200918">
      <w:marLeft w:val="0"/>
      <w:marRight w:val="0"/>
      <w:marTop w:val="0"/>
      <w:marBottom w:val="0"/>
      <w:divBdr>
        <w:top w:val="none" w:sz="0" w:space="0" w:color="auto"/>
        <w:left w:val="none" w:sz="0" w:space="0" w:color="auto"/>
        <w:bottom w:val="none" w:sz="0" w:space="0" w:color="auto"/>
        <w:right w:val="none" w:sz="0" w:space="0" w:color="auto"/>
      </w:divBdr>
    </w:div>
    <w:div w:id="1967200919">
      <w:marLeft w:val="0"/>
      <w:marRight w:val="0"/>
      <w:marTop w:val="0"/>
      <w:marBottom w:val="0"/>
      <w:divBdr>
        <w:top w:val="none" w:sz="0" w:space="0" w:color="auto"/>
        <w:left w:val="none" w:sz="0" w:space="0" w:color="auto"/>
        <w:bottom w:val="none" w:sz="0" w:space="0" w:color="auto"/>
        <w:right w:val="none" w:sz="0" w:space="0" w:color="auto"/>
      </w:divBdr>
    </w:div>
    <w:div w:id="1967200920">
      <w:marLeft w:val="0"/>
      <w:marRight w:val="0"/>
      <w:marTop w:val="0"/>
      <w:marBottom w:val="0"/>
      <w:divBdr>
        <w:top w:val="none" w:sz="0" w:space="0" w:color="auto"/>
        <w:left w:val="none" w:sz="0" w:space="0" w:color="auto"/>
        <w:bottom w:val="none" w:sz="0" w:space="0" w:color="auto"/>
        <w:right w:val="none" w:sz="0" w:space="0" w:color="auto"/>
      </w:divBdr>
    </w:div>
    <w:div w:id="1967200921">
      <w:marLeft w:val="0"/>
      <w:marRight w:val="0"/>
      <w:marTop w:val="0"/>
      <w:marBottom w:val="0"/>
      <w:divBdr>
        <w:top w:val="none" w:sz="0" w:space="0" w:color="auto"/>
        <w:left w:val="none" w:sz="0" w:space="0" w:color="auto"/>
        <w:bottom w:val="none" w:sz="0" w:space="0" w:color="auto"/>
        <w:right w:val="none" w:sz="0" w:space="0" w:color="auto"/>
      </w:divBdr>
    </w:div>
    <w:div w:id="1967200922">
      <w:marLeft w:val="0"/>
      <w:marRight w:val="0"/>
      <w:marTop w:val="0"/>
      <w:marBottom w:val="0"/>
      <w:divBdr>
        <w:top w:val="none" w:sz="0" w:space="0" w:color="auto"/>
        <w:left w:val="none" w:sz="0" w:space="0" w:color="auto"/>
        <w:bottom w:val="none" w:sz="0" w:space="0" w:color="auto"/>
        <w:right w:val="none" w:sz="0" w:space="0" w:color="auto"/>
      </w:divBdr>
    </w:div>
    <w:div w:id="1967200923">
      <w:marLeft w:val="0"/>
      <w:marRight w:val="0"/>
      <w:marTop w:val="0"/>
      <w:marBottom w:val="0"/>
      <w:divBdr>
        <w:top w:val="none" w:sz="0" w:space="0" w:color="auto"/>
        <w:left w:val="none" w:sz="0" w:space="0" w:color="auto"/>
        <w:bottom w:val="none" w:sz="0" w:space="0" w:color="auto"/>
        <w:right w:val="none" w:sz="0" w:space="0" w:color="auto"/>
      </w:divBdr>
    </w:div>
    <w:div w:id="1967200924">
      <w:marLeft w:val="0"/>
      <w:marRight w:val="0"/>
      <w:marTop w:val="0"/>
      <w:marBottom w:val="0"/>
      <w:divBdr>
        <w:top w:val="none" w:sz="0" w:space="0" w:color="auto"/>
        <w:left w:val="none" w:sz="0" w:space="0" w:color="auto"/>
        <w:bottom w:val="none" w:sz="0" w:space="0" w:color="auto"/>
        <w:right w:val="none" w:sz="0" w:space="0" w:color="auto"/>
      </w:divBdr>
    </w:div>
    <w:div w:id="1967200925">
      <w:marLeft w:val="0"/>
      <w:marRight w:val="0"/>
      <w:marTop w:val="0"/>
      <w:marBottom w:val="0"/>
      <w:divBdr>
        <w:top w:val="none" w:sz="0" w:space="0" w:color="auto"/>
        <w:left w:val="none" w:sz="0" w:space="0" w:color="auto"/>
        <w:bottom w:val="none" w:sz="0" w:space="0" w:color="auto"/>
        <w:right w:val="none" w:sz="0" w:space="0" w:color="auto"/>
      </w:divBdr>
    </w:div>
    <w:div w:id="1967200926">
      <w:marLeft w:val="0"/>
      <w:marRight w:val="0"/>
      <w:marTop w:val="0"/>
      <w:marBottom w:val="0"/>
      <w:divBdr>
        <w:top w:val="none" w:sz="0" w:space="0" w:color="auto"/>
        <w:left w:val="none" w:sz="0" w:space="0" w:color="auto"/>
        <w:bottom w:val="none" w:sz="0" w:space="0" w:color="auto"/>
        <w:right w:val="none" w:sz="0" w:space="0" w:color="auto"/>
      </w:divBdr>
    </w:div>
    <w:div w:id="1967200927">
      <w:marLeft w:val="0"/>
      <w:marRight w:val="0"/>
      <w:marTop w:val="0"/>
      <w:marBottom w:val="0"/>
      <w:divBdr>
        <w:top w:val="none" w:sz="0" w:space="0" w:color="auto"/>
        <w:left w:val="none" w:sz="0" w:space="0" w:color="auto"/>
        <w:bottom w:val="none" w:sz="0" w:space="0" w:color="auto"/>
        <w:right w:val="none" w:sz="0" w:space="0" w:color="auto"/>
      </w:divBdr>
    </w:div>
    <w:div w:id="1967200928">
      <w:marLeft w:val="0"/>
      <w:marRight w:val="0"/>
      <w:marTop w:val="0"/>
      <w:marBottom w:val="0"/>
      <w:divBdr>
        <w:top w:val="none" w:sz="0" w:space="0" w:color="auto"/>
        <w:left w:val="none" w:sz="0" w:space="0" w:color="auto"/>
        <w:bottom w:val="none" w:sz="0" w:space="0" w:color="auto"/>
        <w:right w:val="none" w:sz="0" w:space="0" w:color="auto"/>
      </w:divBdr>
    </w:div>
    <w:div w:id="1967200929">
      <w:marLeft w:val="0"/>
      <w:marRight w:val="0"/>
      <w:marTop w:val="0"/>
      <w:marBottom w:val="0"/>
      <w:divBdr>
        <w:top w:val="none" w:sz="0" w:space="0" w:color="auto"/>
        <w:left w:val="none" w:sz="0" w:space="0" w:color="auto"/>
        <w:bottom w:val="none" w:sz="0" w:space="0" w:color="auto"/>
        <w:right w:val="none" w:sz="0" w:space="0" w:color="auto"/>
      </w:divBdr>
    </w:div>
    <w:div w:id="1967200930">
      <w:marLeft w:val="0"/>
      <w:marRight w:val="0"/>
      <w:marTop w:val="0"/>
      <w:marBottom w:val="0"/>
      <w:divBdr>
        <w:top w:val="none" w:sz="0" w:space="0" w:color="auto"/>
        <w:left w:val="none" w:sz="0" w:space="0" w:color="auto"/>
        <w:bottom w:val="none" w:sz="0" w:space="0" w:color="auto"/>
        <w:right w:val="none" w:sz="0" w:space="0" w:color="auto"/>
      </w:divBdr>
    </w:div>
    <w:div w:id="1967200931">
      <w:marLeft w:val="0"/>
      <w:marRight w:val="0"/>
      <w:marTop w:val="0"/>
      <w:marBottom w:val="0"/>
      <w:divBdr>
        <w:top w:val="none" w:sz="0" w:space="0" w:color="auto"/>
        <w:left w:val="none" w:sz="0" w:space="0" w:color="auto"/>
        <w:bottom w:val="none" w:sz="0" w:space="0" w:color="auto"/>
        <w:right w:val="none" w:sz="0" w:space="0" w:color="auto"/>
      </w:divBdr>
    </w:div>
    <w:div w:id="1967200932">
      <w:marLeft w:val="0"/>
      <w:marRight w:val="0"/>
      <w:marTop w:val="0"/>
      <w:marBottom w:val="0"/>
      <w:divBdr>
        <w:top w:val="none" w:sz="0" w:space="0" w:color="auto"/>
        <w:left w:val="none" w:sz="0" w:space="0" w:color="auto"/>
        <w:bottom w:val="none" w:sz="0" w:space="0" w:color="auto"/>
        <w:right w:val="none" w:sz="0" w:space="0" w:color="auto"/>
      </w:divBdr>
    </w:div>
    <w:div w:id="1967200933">
      <w:marLeft w:val="0"/>
      <w:marRight w:val="0"/>
      <w:marTop w:val="0"/>
      <w:marBottom w:val="0"/>
      <w:divBdr>
        <w:top w:val="none" w:sz="0" w:space="0" w:color="auto"/>
        <w:left w:val="none" w:sz="0" w:space="0" w:color="auto"/>
        <w:bottom w:val="none" w:sz="0" w:space="0" w:color="auto"/>
        <w:right w:val="none" w:sz="0" w:space="0" w:color="auto"/>
      </w:divBdr>
    </w:div>
    <w:div w:id="1967200934">
      <w:marLeft w:val="0"/>
      <w:marRight w:val="0"/>
      <w:marTop w:val="0"/>
      <w:marBottom w:val="0"/>
      <w:divBdr>
        <w:top w:val="none" w:sz="0" w:space="0" w:color="auto"/>
        <w:left w:val="none" w:sz="0" w:space="0" w:color="auto"/>
        <w:bottom w:val="none" w:sz="0" w:space="0" w:color="auto"/>
        <w:right w:val="none" w:sz="0" w:space="0" w:color="auto"/>
      </w:divBdr>
    </w:div>
    <w:div w:id="1967200935">
      <w:marLeft w:val="0"/>
      <w:marRight w:val="0"/>
      <w:marTop w:val="0"/>
      <w:marBottom w:val="0"/>
      <w:divBdr>
        <w:top w:val="none" w:sz="0" w:space="0" w:color="auto"/>
        <w:left w:val="none" w:sz="0" w:space="0" w:color="auto"/>
        <w:bottom w:val="none" w:sz="0" w:space="0" w:color="auto"/>
        <w:right w:val="none" w:sz="0" w:space="0" w:color="auto"/>
      </w:divBdr>
    </w:div>
    <w:div w:id="1967200936">
      <w:marLeft w:val="0"/>
      <w:marRight w:val="0"/>
      <w:marTop w:val="0"/>
      <w:marBottom w:val="0"/>
      <w:divBdr>
        <w:top w:val="none" w:sz="0" w:space="0" w:color="auto"/>
        <w:left w:val="none" w:sz="0" w:space="0" w:color="auto"/>
        <w:bottom w:val="none" w:sz="0" w:space="0" w:color="auto"/>
        <w:right w:val="none" w:sz="0" w:space="0" w:color="auto"/>
      </w:divBdr>
    </w:div>
    <w:div w:id="1967200937">
      <w:marLeft w:val="0"/>
      <w:marRight w:val="0"/>
      <w:marTop w:val="0"/>
      <w:marBottom w:val="0"/>
      <w:divBdr>
        <w:top w:val="none" w:sz="0" w:space="0" w:color="auto"/>
        <w:left w:val="none" w:sz="0" w:space="0" w:color="auto"/>
        <w:bottom w:val="none" w:sz="0" w:space="0" w:color="auto"/>
        <w:right w:val="none" w:sz="0" w:space="0" w:color="auto"/>
      </w:divBdr>
    </w:div>
    <w:div w:id="1967200938">
      <w:marLeft w:val="0"/>
      <w:marRight w:val="0"/>
      <w:marTop w:val="0"/>
      <w:marBottom w:val="0"/>
      <w:divBdr>
        <w:top w:val="none" w:sz="0" w:space="0" w:color="auto"/>
        <w:left w:val="none" w:sz="0" w:space="0" w:color="auto"/>
        <w:bottom w:val="none" w:sz="0" w:space="0" w:color="auto"/>
        <w:right w:val="none" w:sz="0" w:space="0" w:color="auto"/>
      </w:divBdr>
    </w:div>
    <w:div w:id="1967200939">
      <w:marLeft w:val="0"/>
      <w:marRight w:val="0"/>
      <w:marTop w:val="0"/>
      <w:marBottom w:val="0"/>
      <w:divBdr>
        <w:top w:val="none" w:sz="0" w:space="0" w:color="auto"/>
        <w:left w:val="none" w:sz="0" w:space="0" w:color="auto"/>
        <w:bottom w:val="none" w:sz="0" w:space="0" w:color="auto"/>
        <w:right w:val="none" w:sz="0" w:space="0" w:color="auto"/>
      </w:divBdr>
    </w:div>
    <w:div w:id="1967200940">
      <w:marLeft w:val="0"/>
      <w:marRight w:val="0"/>
      <w:marTop w:val="0"/>
      <w:marBottom w:val="0"/>
      <w:divBdr>
        <w:top w:val="none" w:sz="0" w:space="0" w:color="auto"/>
        <w:left w:val="none" w:sz="0" w:space="0" w:color="auto"/>
        <w:bottom w:val="none" w:sz="0" w:space="0" w:color="auto"/>
        <w:right w:val="none" w:sz="0" w:space="0" w:color="auto"/>
      </w:divBdr>
    </w:div>
    <w:div w:id="1967200941">
      <w:marLeft w:val="0"/>
      <w:marRight w:val="0"/>
      <w:marTop w:val="0"/>
      <w:marBottom w:val="0"/>
      <w:divBdr>
        <w:top w:val="none" w:sz="0" w:space="0" w:color="auto"/>
        <w:left w:val="none" w:sz="0" w:space="0" w:color="auto"/>
        <w:bottom w:val="none" w:sz="0" w:space="0" w:color="auto"/>
        <w:right w:val="none" w:sz="0" w:space="0" w:color="auto"/>
      </w:divBdr>
    </w:div>
    <w:div w:id="1967200942">
      <w:marLeft w:val="0"/>
      <w:marRight w:val="0"/>
      <w:marTop w:val="0"/>
      <w:marBottom w:val="0"/>
      <w:divBdr>
        <w:top w:val="none" w:sz="0" w:space="0" w:color="auto"/>
        <w:left w:val="none" w:sz="0" w:space="0" w:color="auto"/>
        <w:bottom w:val="none" w:sz="0" w:space="0" w:color="auto"/>
        <w:right w:val="none" w:sz="0" w:space="0" w:color="auto"/>
      </w:divBdr>
    </w:div>
    <w:div w:id="1967200943">
      <w:marLeft w:val="0"/>
      <w:marRight w:val="0"/>
      <w:marTop w:val="0"/>
      <w:marBottom w:val="0"/>
      <w:divBdr>
        <w:top w:val="none" w:sz="0" w:space="0" w:color="auto"/>
        <w:left w:val="none" w:sz="0" w:space="0" w:color="auto"/>
        <w:bottom w:val="none" w:sz="0" w:space="0" w:color="auto"/>
        <w:right w:val="none" w:sz="0" w:space="0" w:color="auto"/>
      </w:divBdr>
    </w:div>
    <w:div w:id="1967200944">
      <w:marLeft w:val="0"/>
      <w:marRight w:val="0"/>
      <w:marTop w:val="0"/>
      <w:marBottom w:val="0"/>
      <w:divBdr>
        <w:top w:val="none" w:sz="0" w:space="0" w:color="auto"/>
        <w:left w:val="none" w:sz="0" w:space="0" w:color="auto"/>
        <w:bottom w:val="none" w:sz="0" w:space="0" w:color="auto"/>
        <w:right w:val="none" w:sz="0" w:space="0" w:color="auto"/>
      </w:divBdr>
    </w:div>
    <w:div w:id="1967200945">
      <w:marLeft w:val="0"/>
      <w:marRight w:val="0"/>
      <w:marTop w:val="0"/>
      <w:marBottom w:val="0"/>
      <w:divBdr>
        <w:top w:val="none" w:sz="0" w:space="0" w:color="auto"/>
        <w:left w:val="none" w:sz="0" w:space="0" w:color="auto"/>
        <w:bottom w:val="none" w:sz="0" w:space="0" w:color="auto"/>
        <w:right w:val="none" w:sz="0" w:space="0" w:color="auto"/>
      </w:divBdr>
    </w:div>
    <w:div w:id="1967200946">
      <w:marLeft w:val="0"/>
      <w:marRight w:val="0"/>
      <w:marTop w:val="0"/>
      <w:marBottom w:val="0"/>
      <w:divBdr>
        <w:top w:val="none" w:sz="0" w:space="0" w:color="auto"/>
        <w:left w:val="none" w:sz="0" w:space="0" w:color="auto"/>
        <w:bottom w:val="none" w:sz="0" w:space="0" w:color="auto"/>
        <w:right w:val="none" w:sz="0" w:space="0" w:color="auto"/>
      </w:divBdr>
    </w:div>
    <w:div w:id="1967200947">
      <w:marLeft w:val="0"/>
      <w:marRight w:val="0"/>
      <w:marTop w:val="0"/>
      <w:marBottom w:val="0"/>
      <w:divBdr>
        <w:top w:val="none" w:sz="0" w:space="0" w:color="auto"/>
        <w:left w:val="none" w:sz="0" w:space="0" w:color="auto"/>
        <w:bottom w:val="none" w:sz="0" w:space="0" w:color="auto"/>
        <w:right w:val="none" w:sz="0" w:space="0" w:color="auto"/>
      </w:divBdr>
    </w:div>
    <w:div w:id="1967200948">
      <w:marLeft w:val="0"/>
      <w:marRight w:val="0"/>
      <w:marTop w:val="0"/>
      <w:marBottom w:val="0"/>
      <w:divBdr>
        <w:top w:val="none" w:sz="0" w:space="0" w:color="auto"/>
        <w:left w:val="none" w:sz="0" w:space="0" w:color="auto"/>
        <w:bottom w:val="none" w:sz="0" w:space="0" w:color="auto"/>
        <w:right w:val="none" w:sz="0" w:space="0" w:color="auto"/>
      </w:divBdr>
    </w:div>
    <w:div w:id="1967200949">
      <w:marLeft w:val="0"/>
      <w:marRight w:val="0"/>
      <w:marTop w:val="0"/>
      <w:marBottom w:val="0"/>
      <w:divBdr>
        <w:top w:val="none" w:sz="0" w:space="0" w:color="auto"/>
        <w:left w:val="none" w:sz="0" w:space="0" w:color="auto"/>
        <w:bottom w:val="none" w:sz="0" w:space="0" w:color="auto"/>
        <w:right w:val="none" w:sz="0" w:space="0" w:color="auto"/>
      </w:divBdr>
    </w:div>
    <w:div w:id="1967200950">
      <w:marLeft w:val="0"/>
      <w:marRight w:val="0"/>
      <w:marTop w:val="0"/>
      <w:marBottom w:val="0"/>
      <w:divBdr>
        <w:top w:val="none" w:sz="0" w:space="0" w:color="auto"/>
        <w:left w:val="none" w:sz="0" w:space="0" w:color="auto"/>
        <w:bottom w:val="none" w:sz="0" w:space="0" w:color="auto"/>
        <w:right w:val="none" w:sz="0" w:space="0" w:color="auto"/>
      </w:divBdr>
    </w:div>
    <w:div w:id="1967200951">
      <w:marLeft w:val="0"/>
      <w:marRight w:val="0"/>
      <w:marTop w:val="0"/>
      <w:marBottom w:val="0"/>
      <w:divBdr>
        <w:top w:val="none" w:sz="0" w:space="0" w:color="auto"/>
        <w:left w:val="none" w:sz="0" w:space="0" w:color="auto"/>
        <w:bottom w:val="none" w:sz="0" w:space="0" w:color="auto"/>
        <w:right w:val="none" w:sz="0" w:space="0" w:color="auto"/>
      </w:divBdr>
    </w:div>
    <w:div w:id="1967200952">
      <w:marLeft w:val="0"/>
      <w:marRight w:val="0"/>
      <w:marTop w:val="0"/>
      <w:marBottom w:val="0"/>
      <w:divBdr>
        <w:top w:val="none" w:sz="0" w:space="0" w:color="auto"/>
        <w:left w:val="none" w:sz="0" w:space="0" w:color="auto"/>
        <w:bottom w:val="none" w:sz="0" w:space="0" w:color="auto"/>
        <w:right w:val="none" w:sz="0" w:space="0" w:color="auto"/>
      </w:divBdr>
    </w:div>
    <w:div w:id="1967200953">
      <w:marLeft w:val="0"/>
      <w:marRight w:val="0"/>
      <w:marTop w:val="0"/>
      <w:marBottom w:val="0"/>
      <w:divBdr>
        <w:top w:val="none" w:sz="0" w:space="0" w:color="auto"/>
        <w:left w:val="none" w:sz="0" w:space="0" w:color="auto"/>
        <w:bottom w:val="none" w:sz="0" w:space="0" w:color="auto"/>
        <w:right w:val="none" w:sz="0" w:space="0" w:color="auto"/>
      </w:divBdr>
    </w:div>
    <w:div w:id="1967200954">
      <w:marLeft w:val="0"/>
      <w:marRight w:val="0"/>
      <w:marTop w:val="0"/>
      <w:marBottom w:val="0"/>
      <w:divBdr>
        <w:top w:val="none" w:sz="0" w:space="0" w:color="auto"/>
        <w:left w:val="none" w:sz="0" w:space="0" w:color="auto"/>
        <w:bottom w:val="none" w:sz="0" w:space="0" w:color="auto"/>
        <w:right w:val="none" w:sz="0" w:space="0" w:color="auto"/>
      </w:divBdr>
    </w:div>
    <w:div w:id="1967200955">
      <w:marLeft w:val="0"/>
      <w:marRight w:val="0"/>
      <w:marTop w:val="0"/>
      <w:marBottom w:val="0"/>
      <w:divBdr>
        <w:top w:val="none" w:sz="0" w:space="0" w:color="auto"/>
        <w:left w:val="none" w:sz="0" w:space="0" w:color="auto"/>
        <w:bottom w:val="none" w:sz="0" w:space="0" w:color="auto"/>
        <w:right w:val="none" w:sz="0" w:space="0" w:color="auto"/>
      </w:divBdr>
    </w:div>
    <w:div w:id="1967200956">
      <w:marLeft w:val="0"/>
      <w:marRight w:val="0"/>
      <w:marTop w:val="0"/>
      <w:marBottom w:val="0"/>
      <w:divBdr>
        <w:top w:val="none" w:sz="0" w:space="0" w:color="auto"/>
        <w:left w:val="none" w:sz="0" w:space="0" w:color="auto"/>
        <w:bottom w:val="none" w:sz="0" w:space="0" w:color="auto"/>
        <w:right w:val="none" w:sz="0" w:space="0" w:color="auto"/>
      </w:divBdr>
    </w:div>
    <w:div w:id="1967200957">
      <w:marLeft w:val="0"/>
      <w:marRight w:val="0"/>
      <w:marTop w:val="0"/>
      <w:marBottom w:val="0"/>
      <w:divBdr>
        <w:top w:val="none" w:sz="0" w:space="0" w:color="auto"/>
        <w:left w:val="none" w:sz="0" w:space="0" w:color="auto"/>
        <w:bottom w:val="none" w:sz="0" w:space="0" w:color="auto"/>
        <w:right w:val="none" w:sz="0" w:space="0" w:color="auto"/>
      </w:divBdr>
    </w:div>
    <w:div w:id="1967200958">
      <w:marLeft w:val="0"/>
      <w:marRight w:val="0"/>
      <w:marTop w:val="0"/>
      <w:marBottom w:val="0"/>
      <w:divBdr>
        <w:top w:val="none" w:sz="0" w:space="0" w:color="auto"/>
        <w:left w:val="none" w:sz="0" w:space="0" w:color="auto"/>
        <w:bottom w:val="none" w:sz="0" w:space="0" w:color="auto"/>
        <w:right w:val="none" w:sz="0" w:space="0" w:color="auto"/>
      </w:divBdr>
    </w:div>
    <w:div w:id="1967200959">
      <w:marLeft w:val="0"/>
      <w:marRight w:val="0"/>
      <w:marTop w:val="0"/>
      <w:marBottom w:val="0"/>
      <w:divBdr>
        <w:top w:val="none" w:sz="0" w:space="0" w:color="auto"/>
        <w:left w:val="none" w:sz="0" w:space="0" w:color="auto"/>
        <w:bottom w:val="none" w:sz="0" w:space="0" w:color="auto"/>
        <w:right w:val="none" w:sz="0" w:space="0" w:color="auto"/>
      </w:divBdr>
    </w:div>
    <w:div w:id="1967200960">
      <w:marLeft w:val="0"/>
      <w:marRight w:val="0"/>
      <w:marTop w:val="0"/>
      <w:marBottom w:val="0"/>
      <w:divBdr>
        <w:top w:val="none" w:sz="0" w:space="0" w:color="auto"/>
        <w:left w:val="none" w:sz="0" w:space="0" w:color="auto"/>
        <w:bottom w:val="none" w:sz="0" w:space="0" w:color="auto"/>
        <w:right w:val="none" w:sz="0" w:space="0" w:color="auto"/>
      </w:divBdr>
    </w:div>
    <w:div w:id="1967200961">
      <w:marLeft w:val="0"/>
      <w:marRight w:val="0"/>
      <w:marTop w:val="0"/>
      <w:marBottom w:val="0"/>
      <w:divBdr>
        <w:top w:val="none" w:sz="0" w:space="0" w:color="auto"/>
        <w:left w:val="none" w:sz="0" w:space="0" w:color="auto"/>
        <w:bottom w:val="none" w:sz="0" w:space="0" w:color="auto"/>
        <w:right w:val="none" w:sz="0" w:space="0" w:color="auto"/>
      </w:divBdr>
    </w:div>
    <w:div w:id="1967200962">
      <w:marLeft w:val="0"/>
      <w:marRight w:val="0"/>
      <w:marTop w:val="0"/>
      <w:marBottom w:val="0"/>
      <w:divBdr>
        <w:top w:val="none" w:sz="0" w:space="0" w:color="auto"/>
        <w:left w:val="none" w:sz="0" w:space="0" w:color="auto"/>
        <w:bottom w:val="none" w:sz="0" w:space="0" w:color="auto"/>
        <w:right w:val="none" w:sz="0" w:space="0" w:color="auto"/>
      </w:divBdr>
    </w:div>
    <w:div w:id="1967200963">
      <w:marLeft w:val="0"/>
      <w:marRight w:val="0"/>
      <w:marTop w:val="0"/>
      <w:marBottom w:val="0"/>
      <w:divBdr>
        <w:top w:val="none" w:sz="0" w:space="0" w:color="auto"/>
        <w:left w:val="none" w:sz="0" w:space="0" w:color="auto"/>
        <w:bottom w:val="none" w:sz="0" w:space="0" w:color="auto"/>
        <w:right w:val="none" w:sz="0" w:space="0" w:color="auto"/>
      </w:divBdr>
    </w:div>
    <w:div w:id="1967200964">
      <w:marLeft w:val="0"/>
      <w:marRight w:val="0"/>
      <w:marTop w:val="0"/>
      <w:marBottom w:val="0"/>
      <w:divBdr>
        <w:top w:val="none" w:sz="0" w:space="0" w:color="auto"/>
        <w:left w:val="none" w:sz="0" w:space="0" w:color="auto"/>
        <w:bottom w:val="none" w:sz="0" w:space="0" w:color="auto"/>
        <w:right w:val="none" w:sz="0" w:space="0" w:color="auto"/>
      </w:divBdr>
    </w:div>
    <w:div w:id="1967200965">
      <w:marLeft w:val="0"/>
      <w:marRight w:val="0"/>
      <w:marTop w:val="0"/>
      <w:marBottom w:val="0"/>
      <w:divBdr>
        <w:top w:val="none" w:sz="0" w:space="0" w:color="auto"/>
        <w:left w:val="none" w:sz="0" w:space="0" w:color="auto"/>
        <w:bottom w:val="none" w:sz="0" w:space="0" w:color="auto"/>
        <w:right w:val="none" w:sz="0" w:space="0" w:color="auto"/>
      </w:divBdr>
    </w:div>
    <w:div w:id="1967200966">
      <w:marLeft w:val="0"/>
      <w:marRight w:val="0"/>
      <w:marTop w:val="0"/>
      <w:marBottom w:val="0"/>
      <w:divBdr>
        <w:top w:val="none" w:sz="0" w:space="0" w:color="auto"/>
        <w:left w:val="none" w:sz="0" w:space="0" w:color="auto"/>
        <w:bottom w:val="none" w:sz="0" w:space="0" w:color="auto"/>
        <w:right w:val="none" w:sz="0" w:space="0" w:color="auto"/>
      </w:divBdr>
    </w:div>
    <w:div w:id="1967200967">
      <w:marLeft w:val="0"/>
      <w:marRight w:val="0"/>
      <w:marTop w:val="0"/>
      <w:marBottom w:val="0"/>
      <w:divBdr>
        <w:top w:val="none" w:sz="0" w:space="0" w:color="auto"/>
        <w:left w:val="none" w:sz="0" w:space="0" w:color="auto"/>
        <w:bottom w:val="none" w:sz="0" w:space="0" w:color="auto"/>
        <w:right w:val="none" w:sz="0" w:space="0" w:color="auto"/>
      </w:divBdr>
    </w:div>
    <w:div w:id="1967200968">
      <w:marLeft w:val="0"/>
      <w:marRight w:val="0"/>
      <w:marTop w:val="0"/>
      <w:marBottom w:val="0"/>
      <w:divBdr>
        <w:top w:val="none" w:sz="0" w:space="0" w:color="auto"/>
        <w:left w:val="none" w:sz="0" w:space="0" w:color="auto"/>
        <w:bottom w:val="none" w:sz="0" w:space="0" w:color="auto"/>
        <w:right w:val="none" w:sz="0" w:space="0" w:color="auto"/>
      </w:divBdr>
    </w:div>
    <w:div w:id="1967200969">
      <w:marLeft w:val="0"/>
      <w:marRight w:val="0"/>
      <w:marTop w:val="0"/>
      <w:marBottom w:val="0"/>
      <w:divBdr>
        <w:top w:val="none" w:sz="0" w:space="0" w:color="auto"/>
        <w:left w:val="none" w:sz="0" w:space="0" w:color="auto"/>
        <w:bottom w:val="none" w:sz="0" w:space="0" w:color="auto"/>
        <w:right w:val="none" w:sz="0" w:space="0" w:color="auto"/>
      </w:divBdr>
    </w:div>
    <w:div w:id="1967200970">
      <w:marLeft w:val="0"/>
      <w:marRight w:val="0"/>
      <w:marTop w:val="0"/>
      <w:marBottom w:val="0"/>
      <w:divBdr>
        <w:top w:val="none" w:sz="0" w:space="0" w:color="auto"/>
        <w:left w:val="none" w:sz="0" w:space="0" w:color="auto"/>
        <w:bottom w:val="none" w:sz="0" w:space="0" w:color="auto"/>
        <w:right w:val="none" w:sz="0" w:space="0" w:color="auto"/>
      </w:divBdr>
    </w:div>
    <w:div w:id="1967200971">
      <w:marLeft w:val="0"/>
      <w:marRight w:val="0"/>
      <w:marTop w:val="0"/>
      <w:marBottom w:val="0"/>
      <w:divBdr>
        <w:top w:val="none" w:sz="0" w:space="0" w:color="auto"/>
        <w:left w:val="none" w:sz="0" w:space="0" w:color="auto"/>
        <w:bottom w:val="none" w:sz="0" w:space="0" w:color="auto"/>
        <w:right w:val="none" w:sz="0" w:space="0" w:color="auto"/>
      </w:divBdr>
    </w:div>
    <w:div w:id="1967200972">
      <w:marLeft w:val="0"/>
      <w:marRight w:val="0"/>
      <w:marTop w:val="0"/>
      <w:marBottom w:val="0"/>
      <w:divBdr>
        <w:top w:val="none" w:sz="0" w:space="0" w:color="auto"/>
        <w:left w:val="none" w:sz="0" w:space="0" w:color="auto"/>
        <w:bottom w:val="none" w:sz="0" w:space="0" w:color="auto"/>
        <w:right w:val="none" w:sz="0" w:space="0" w:color="auto"/>
      </w:divBdr>
    </w:div>
    <w:div w:id="1967200973">
      <w:marLeft w:val="0"/>
      <w:marRight w:val="0"/>
      <w:marTop w:val="0"/>
      <w:marBottom w:val="0"/>
      <w:divBdr>
        <w:top w:val="none" w:sz="0" w:space="0" w:color="auto"/>
        <w:left w:val="none" w:sz="0" w:space="0" w:color="auto"/>
        <w:bottom w:val="none" w:sz="0" w:space="0" w:color="auto"/>
        <w:right w:val="none" w:sz="0" w:space="0" w:color="auto"/>
      </w:divBdr>
    </w:div>
    <w:div w:id="1967200974">
      <w:marLeft w:val="0"/>
      <w:marRight w:val="0"/>
      <w:marTop w:val="0"/>
      <w:marBottom w:val="0"/>
      <w:divBdr>
        <w:top w:val="none" w:sz="0" w:space="0" w:color="auto"/>
        <w:left w:val="none" w:sz="0" w:space="0" w:color="auto"/>
        <w:bottom w:val="none" w:sz="0" w:space="0" w:color="auto"/>
        <w:right w:val="none" w:sz="0" w:space="0" w:color="auto"/>
      </w:divBdr>
    </w:div>
    <w:div w:id="1967200975">
      <w:marLeft w:val="0"/>
      <w:marRight w:val="0"/>
      <w:marTop w:val="0"/>
      <w:marBottom w:val="0"/>
      <w:divBdr>
        <w:top w:val="none" w:sz="0" w:space="0" w:color="auto"/>
        <w:left w:val="none" w:sz="0" w:space="0" w:color="auto"/>
        <w:bottom w:val="none" w:sz="0" w:space="0" w:color="auto"/>
        <w:right w:val="none" w:sz="0" w:space="0" w:color="auto"/>
      </w:divBdr>
    </w:div>
    <w:div w:id="1967200976">
      <w:marLeft w:val="0"/>
      <w:marRight w:val="0"/>
      <w:marTop w:val="0"/>
      <w:marBottom w:val="0"/>
      <w:divBdr>
        <w:top w:val="none" w:sz="0" w:space="0" w:color="auto"/>
        <w:left w:val="none" w:sz="0" w:space="0" w:color="auto"/>
        <w:bottom w:val="none" w:sz="0" w:space="0" w:color="auto"/>
        <w:right w:val="none" w:sz="0" w:space="0" w:color="auto"/>
      </w:divBdr>
    </w:div>
    <w:div w:id="1967200977">
      <w:marLeft w:val="0"/>
      <w:marRight w:val="0"/>
      <w:marTop w:val="0"/>
      <w:marBottom w:val="0"/>
      <w:divBdr>
        <w:top w:val="none" w:sz="0" w:space="0" w:color="auto"/>
        <w:left w:val="none" w:sz="0" w:space="0" w:color="auto"/>
        <w:bottom w:val="none" w:sz="0" w:space="0" w:color="auto"/>
        <w:right w:val="none" w:sz="0" w:space="0" w:color="auto"/>
      </w:divBdr>
    </w:div>
    <w:div w:id="1967200978">
      <w:marLeft w:val="0"/>
      <w:marRight w:val="0"/>
      <w:marTop w:val="0"/>
      <w:marBottom w:val="0"/>
      <w:divBdr>
        <w:top w:val="none" w:sz="0" w:space="0" w:color="auto"/>
        <w:left w:val="none" w:sz="0" w:space="0" w:color="auto"/>
        <w:bottom w:val="none" w:sz="0" w:space="0" w:color="auto"/>
        <w:right w:val="none" w:sz="0" w:space="0" w:color="auto"/>
      </w:divBdr>
    </w:div>
    <w:div w:id="1967200979">
      <w:marLeft w:val="0"/>
      <w:marRight w:val="0"/>
      <w:marTop w:val="0"/>
      <w:marBottom w:val="0"/>
      <w:divBdr>
        <w:top w:val="none" w:sz="0" w:space="0" w:color="auto"/>
        <w:left w:val="none" w:sz="0" w:space="0" w:color="auto"/>
        <w:bottom w:val="none" w:sz="0" w:space="0" w:color="auto"/>
        <w:right w:val="none" w:sz="0" w:space="0" w:color="auto"/>
      </w:divBdr>
    </w:div>
    <w:div w:id="1967200980">
      <w:marLeft w:val="0"/>
      <w:marRight w:val="0"/>
      <w:marTop w:val="0"/>
      <w:marBottom w:val="0"/>
      <w:divBdr>
        <w:top w:val="none" w:sz="0" w:space="0" w:color="auto"/>
        <w:left w:val="none" w:sz="0" w:space="0" w:color="auto"/>
        <w:bottom w:val="none" w:sz="0" w:space="0" w:color="auto"/>
        <w:right w:val="none" w:sz="0" w:space="0" w:color="auto"/>
      </w:divBdr>
    </w:div>
    <w:div w:id="1967200981">
      <w:marLeft w:val="0"/>
      <w:marRight w:val="0"/>
      <w:marTop w:val="0"/>
      <w:marBottom w:val="0"/>
      <w:divBdr>
        <w:top w:val="none" w:sz="0" w:space="0" w:color="auto"/>
        <w:left w:val="none" w:sz="0" w:space="0" w:color="auto"/>
        <w:bottom w:val="none" w:sz="0" w:space="0" w:color="auto"/>
        <w:right w:val="none" w:sz="0" w:space="0" w:color="auto"/>
      </w:divBdr>
    </w:div>
    <w:div w:id="1967200982">
      <w:marLeft w:val="0"/>
      <w:marRight w:val="0"/>
      <w:marTop w:val="0"/>
      <w:marBottom w:val="0"/>
      <w:divBdr>
        <w:top w:val="none" w:sz="0" w:space="0" w:color="auto"/>
        <w:left w:val="none" w:sz="0" w:space="0" w:color="auto"/>
        <w:bottom w:val="none" w:sz="0" w:space="0" w:color="auto"/>
        <w:right w:val="none" w:sz="0" w:space="0" w:color="auto"/>
      </w:divBdr>
    </w:div>
    <w:div w:id="1967200983">
      <w:marLeft w:val="0"/>
      <w:marRight w:val="0"/>
      <w:marTop w:val="0"/>
      <w:marBottom w:val="0"/>
      <w:divBdr>
        <w:top w:val="none" w:sz="0" w:space="0" w:color="auto"/>
        <w:left w:val="none" w:sz="0" w:space="0" w:color="auto"/>
        <w:bottom w:val="none" w:sz="0" w:space="0" w:color="auto"/>
        <w:right w:val="none" w:sz="0" w:space="0" w:color="auto"/>
      </w:divBdr>
    </w:div>
    <w:div w:id="1967200984">
      <w:marLeft w:val="0"/>
      <w:marRight w:val="0"/>
      <w:marTop w:val="0"/>
      <w:marBottom w:val="0"/>
      <w:divBdr>
        <w:top w:val="none" w:sz="0" w:space="0" w:color="auto"/>
        <w:left w:val="none" w:sz="0" w:space="0" w:color="auto"/>
        <w:bottom w:val="none" w:sz="0" w:space="0" w:color="auto"/>
        <w:right w:val="none" w:sz="0" w:space="0" w:color="auto"/>
      </w:divBdr>
    </w:div>
    <w:div w:id="2016612116">
      <w:bodyDiv w:val="1"/>
      <w:marLeft w:val="0"/>
      <w:marRight w:val="0"/>
      <w:marTop w:val="0"/>
      <w:marBottom w:val="0"/>
      <w:divBdr>
        <w:top w:val="none" w:sz="0" w:space="0" w:color="auto"/>
        <w:left w:val="none" w:sz="0" w:space="0" w:color="auto"/>
        <w:bottom w:val="none" w:sz="0" w:space="0" w:color="auto"/>
        <w:right w:val="none" w:sz="0" w:space="0" w:color="auto"/>
      </w:divBdr>
    </w:div>
    <w:div w:id="2050716333">
      <w:bodyDiv w:val="1"/>
      <w:marLeft w:val="0"/>
      <w:marRight w:val="0"/>
      <w:marTop w:val="0"/>
      <w:marBottom w:val="0"/>
      <w:divBdr>
        <w:top w:val="none" w:sz="0" w:space="0" w:color="auto"/>
        <w:left w:val="none" w:sz="0" w:space="0" w:color="auto"/>
        <w:bottom w:val="none" w:sz="0" w:space="0" w:color="auto"/>
        <w:right w:val="none" w:sz="0" w:space="0" w:color="auto"/>
      </w:divBdr>
    </w:div>
    <w:div w:id="21223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mailto:tele@buzau.insse.ro" TargetMode="Externa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abriel.enache\Desktop\Analiza%20indicatori\indici_20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gabriel.enache\Desktop\Analiza%20indicatori\indici_202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gabriel.enache\Desktop\Analiza%20indicatori\indici_202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gabriel.enache\Desktop\Analiza%20indicatori\indici_202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gabriel.enache\Desktop\Analiza%20indicatori\indici_202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gabriel.enache\Desktop\Analiza%20indicatori\indici_202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gabriel.enache\Desktop\Analiza%20indicatori\indici_2020.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gabriel.enache\Desktop\Analiza%20indicatori\indici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600" b="1" i="0" u="none" strike="noStrike" baseline="0">
                <a:solidFill>
                  <a:srgbClr val="000000"/>
                </a:solidFill>
                <a:latin typeface="Calibri"/>
                <a:ea typeface="Calibri"/>
                <a:cs typeface="Calibri"/>
              </a:defRPr>
            </a:pPr>
            <a:r>
              <a:rPr lang="en-US" sz="1600"/>
              <a:t>Evoluţia indicelui producţiei industriale</a:t>
            </a:r>
          </a:p>
        </c:rich>
      </c:tx>
      <c:overlay val="0"/>
      <c:spPr>
        <a:noFill/>
        <a:ln w="25400">
          <a:noFill/>
        </a:ln>
      </c:spPr>
    </c:title>
    <c:autoTitleDeleted val="0"/>
    <c:plotArea>
      <c:layout/>
      <c:lineChart>
        <c:grouping val="standard"/>
        <c:varyColors val="0"/>
        <c:ser>
          <c:idx val="0"/>
          <c:order val="0"/>
          <c:dLbls>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Sheet1!$N$4:$Z$5</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2019</c:v>
                  </c:pt>
                  <c:pt idx="1">
                    <c:v>2020</c:v>
                  </c:pt>
                </c:lvl>
              </c:multiLvlStrCache>
            </c:multiLvlStrRef>
          </c:cat>
          <c:val>
            <c:numRef>
              <c:f>Sheet1!$N$6:$Z$6</c:f>
              <c:numCache>
                <c:formatCode>0.0</c:formatCode>
                <c:ptCount val="13"/>
                <c:pt idx="0">
                  <c:v>110.5</c:v>
                </c:pt>
                <c:pt idx="1">
                  <c:v>113.1</c:v>
                </c:pt>
                <c:pt idx="2">
                  <c:v>105</c:v>
                </c:pt>
                <c:pt idx="3">
                  <c:v>94.6</c:v>
                </c:pt>
                <c:pt idx="4">
                  <c:v>90.4</c:v>
                </c:pt>
                <c:pt idx="5">
                  <c:v>73.3</c:v>
                </c:pt>
                <c:pt idx="6">
                  <c:v>105.9</c:v>
                </c:pt>
                <c:pt idx="7">
                  <c:v>118.4</c:v>
                </c:pt>
                <c:pt idx="8">
                  <c:v>124.8</c:v>
                </c:pt>
                <c:pt idx="9">
                  <c:v>120.6</c:v>
                </c:pt>
                <c:pt idx="10">
                  <c:v>124.7</c:v>
                </c:pt>
                <c:pt idx="11">
                  <c:v>111.8</c:v>
                </c:pt>
                <c:pt idx="12">
                  <c:v>107.3</c:v>
                </c:pt>
              </c:numCache>
            </c:numRef>
          </c:val>
          <c:smooth val="0"/>
          <c:extLst xmlns:c16r2="http://schemas.microsoft.com/office/drawing/2015/06/chart">
            <c:ext xmlns:c16="http://schemas.microsoft.com/office/drawing/2014/chart" uri="{C3380CC4-5D6E-409C-BE32-E72D297353CC}">
              <c16:uniqueId val="{00000000-A30B-4B62-A918-1E076D99C709}"/>
            </c:ext>
          </c:extLst>
        </c:ser>
        <c:dLbls>
          <c:showLegendKey val="0"/>
          <c:showVal val="0"/>
          <c:showCatName val="0"/>
          <c:showSerName val="0"/>
          <c:showPercent val="0"/>
          <c:showBubbleSize val="0"/>
        </c:dLbls>
        <c:marker val="1"/>
        <c:smooth val="0"/>
        <c:axId val="394562560"/>
        <c:axId val="221688576"/>
      </c:lineChart>
      <c:catAx>
        <c:axId val="39456256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1688576"/>
        <c:crosses val="autoZero"/>
        <c:auto val="1"/>
        <c:lblAlgn val="ctr"/>
        <c:lblOffset val="100"/>
        <c:noMultiLvlLbl val="0"/>
      </c:catAx>
      <c:valAx>
        <c:axId val="221688576"/>
        <c:scaling>
          <c:orientation val="minMax"/>
        </c:scaling>
        <c:delete val="0"/>
        <c:axPos val="l"/>
        <c:majorGridlines>
          <c:spPr>
            <a:ln>
              <a:prstDash val="sysDot"/>
            </a:ln>
          </c:spPr>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94562560"/>
        <c:crosses val="autoZero"/>
        <c:crossBetween val="between"/>
      </c:valAx>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600" b="1" i="0" u="none" strike="noStrike" baseline="0">
                <a:solidFill>
                  <a:srgbClr val="000000"/>
                </a:solidFill>
                <a:latin typeface="Calibri"/>
                <a:ea typeface="Calibri"/>
                <a:cs typeface="Calibri"/>
              </a:defRPr>
            </a:pPr>
            <a:r>
              <a:rPr lang="en-US" sz="1600"/>
              <a:t>Evoluţia indicelui cifrei de afaceri</a:t>
            </a:r>
          </a:p>
        </c:rich>
      </c:tx>
      <c:overlay val="0"/>
      <c:spPr>
        <a:noFill/>
        <a:ln w="25400">
          <a:noFill/>
        </a:ln>
      </c:spPr>
    </c:title>
    <c:autoTitleDeleted val="0"/>
    <c:plotArea>
      <c:layout/>
      <c:lineChart>
        <c:grouping val="standard"/>
        <c:varyColors val="0"/>
        <c:ser>
          <c:idx val="0"/>
          <c:order val="0"/>
          <c:dLbls>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Sheet1!$N$25:$Z$26</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2019</c:v>
                  </c:pt>
                  <c:pt idx="1">
                    <c:v>2020</c:v>
                  </c:pt>
                </c:lvl>
              </c:multiLvlStrCache>
            </c:multiLvlStrRef>
          </c:cat>
          <c:val>
            <c:numRef>
              <c:f>Sheet1!$N$27:$Z$27</c:f>
              <c:numCache>
                <c:formatCode>0.0</c:formatCode>
                <c:ptCount val="13"/>
                <c:pt idx="0">
                  <c:v>104.2</c:v>
                </c:pt>
                <c:pt idx="1">
                  <c:v>110.7</c:v>
                </c:pt>
                <c:pt idx="2">
                  <c:v>99.5</c:v>
                </c:pt>
                <c:pt idx="3">
                  <c:v>100.1</c:v>
                </c:pt>
                <c:pt idx="4">
                  <c:v>81.099999999999994</c:v>
                </c:pt>
                <c:pt idx="5">
                  <c:v>75.5</c:v>
                </c:pt>
                <c:pt idx="6">
                  <c:v>96.2</c:v>
                </c:pt>
                <c:pt idx="7">
                  <c:v>99.3</c:v>
                </c:pt>
                <c:pt idx="8">
                  <c:v>104.4</c:v>
                </c:pt>
                <c:pt idx="9">
                  <c:v>117.4</c:v>
                </c:pt>
                <c:pt idx="10">
                  <c:v>92.6</c:v>
                </c:pt>
                <c:pt idx="11">
                  <c:v>97.8</c:v>
                </c:pt>
                <c:pt idx="12">
                  <c:v>96.6</c:v>
                </c:pt>
              </c:numCache>
            </c:numRef>
          </c:val>
          <c:smooth val="0"/>
          <c:extLst xmlns:c16r2="http://schemas.microsoft.com/office/drawing/2015/06/chart">
            <c:ext xmlns:c16="http://schemas.microsoft.com/office/drawing/2014/chart" uri="{C3380CC4-5D6E-409C-BE32-E72D297353CC}">
              <c16:uniqueId val="{00000000-8A96-4D67-B4D8-EAC38346084E}"/>
            </c:ext>
          </c:extLst>
        </c:ser>
        <c:dLbls>
          <c:showLegendKey val="0"/>
          <c:showVal val="0"/>
          <c:showCatName val="0"/>
          <c:showSerName val="0"/>
          <c:showPercent val="0"/>
          <c:showBubbleSize val="0"/>
        </c:dLbls>
        <c:marker val="1"/>
        <c:smooth val="0"/>
        <c:axId val="221705728"/>
        <c:axId val="221707264"/>
      </c:lineChart>
      <c:catAx>
        <c:axId val="2217057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1707264"/>
        <c:crosses val="autoZero"/>
        <c:auto val="1"/>
        <c:lblAlgn val="ctr"/>
        <c:lblOffset val="100"/>
        <c:noMultiLvlLbl val="0"/>
      </c:catAx>
      <c:valAx>
        <c:axId val="221707264"/>
        <c:scaling>
          <c:orientation val="minMax"/>
        </c:scaling>
        <c:delete val="0"/>
        <c:axPos val="l"/>
        <c:majorGridlines>
          <c:spPr>
            <a:ln>
              <a:prstDash val="sysDot"/>
            </a:ln>
          </c:spPr>
        </c:majorGridlines>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1705728"/>
        <c:crosses val="autoZero"/>
        <c:crossBetween val="between"/>
      </c:valAx>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en-US" sz="1600"/>
              <a:t>Comerţ internaţional</a:t>
            </a:r>
          </a:p>
        </c:rich>
      </c:tx>
      <c:overlay val="0"/>
      <c:spPr>
        <a:noFill/>
        <a:ln w="25400">
          <a:noFill/>
        </a:ln>
      </c:spPr>
    </c:title>
    <c:autoTitleDeleted val="0"/>
    <c:plotArea>
      <c:layout>
        <c:manualLayout>
          <c:layoutTarget val="inner"/>
          <c:xMode val="edge"/>
          <c:yMode val="edge"/>
          <c:x val="9.4344092484622624E-2"/>
          <c:y val="0.13047305133369957"/>
          <c:w val="0.87858484101701029"/>
          <c:h val="0.66189222318556573"/>
        </c:manualLayout>
      </c:layout>
      <c:barChart>
        <c:barDir val="col"/>
        <c:grouping val="clustered"/>
        <c:varyColors val="0"/>
        <c:ser>
          <c:idx val="0"/>
          <c:order val="0"/>
          <c:tx>
            <c:strRef>
              <c:f>Sheet1!$A$59</c:f>
              <c:strCache>
                <c:ptCount val="1"/>
                <c:pt idx="0">
                  <c:v>Total exporturi FOB</c:v>
                </c:pt>
              </c:strCache>
            </c:strRef>
          </c:tx>
          <c:invertIfNegative val="0"/>
          <c:dLbls>
            <c:spPr>
              <a:noFill/>
              <a:ln w="25400">
                <a:noFill/>
              </a:ln>
            </c:spPr>
            <c:txPr>
              <a:bodyPr rot="-5400000" vert="horz"/>
              <a:lstStyle/>
              <a:p>
                <a:pPr algn="ct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Sheet1!$L$57:$X$58</c:f>
              <c:multiLvlStrCache>
                <c:ptCount val="13"/>
                <c:lvl>
                  <c:pt idx="0">
                    <c:v>oct.</c:v>
                  </c:pt>
                  <c:pt idx="1">
                    <c:v>nov.</c:v>
                  </c:pt>
                  <c:pt idx="2">
                    <c:v>dec.</c:v>
                  </c:pt>
                  <c:pt idx="3">
                    <c:v>ian.</c:v>
                  </c:pt>
                  <c:pt idx="4">
                    <c:v>feb.</c:v>
                  </c:pt>
                  <c:pt idx="5">
                    <c:v>mar.</c:v>
                  </c:pt>
                  <c:pt idx="6">
                    <c:v>apr.</c:v>
                  </c:pt>
                  <c:pt idx="7">
                    <c:v>mai</c:v>
                  </c:pt>
                  <c:pt idx="8">
                    <c:v>iun.</c:v>
                  </c:pt>
                  <c:pt idx="9">
                    <c:v>iul.</c:v>
                  </c:pt>
                  <c:pt idx="10">
                    <c:v>aug.</c:v>
                  </c:pt>
                  <c:pt idx="11">
                    <c:v>sep.</c:v>
                  </c:pt>
                  <c:pt idx="12">
                    <c:v>oct.</c:v>
                  </c:pt>
                </c:lvl>
                <c:lvl>
                  <c:pt idx="0">
                    <c:v>2019</c:v>
                  </c:pt>
                  <c:pt idx="3">
                    <c:v>2020</c:v>
                  </c:pt>
                </c:lvl>
              </c:multiLvlStrCache>
            </c:multiLvlStrRef>
          </c:cat>
          <c:val>
            <c:numRef>
              <c:f>Sheet1!$L$59:$X$59</c:f>
              <c:numCache>
                <c:formatCode>General</c:formatCode>
                <c:ptCount val="13"/>
                <c:pt idx="0">
                  <c:v>67083</c:v>
                </c:pt>
                <c:pt idx="1">
                  <c:v>60226</c:v>
                </c:pt>
                <c:pt idx="2">
                  <c:v>50543</c:v>
                </c:pt>
                <c:pt idx="3">
                  <c:v>51696</c:v>
                </c:pt>
                <c:pt idx="4">
                  <c:v>57369</c:v>
                </c:pt>
                <c:pt idx="5">
                  <c:v>51938</c:v>
                </c:pt>
                <c:pt idx="6">
                  <c:v>43397</c:v>
                </c:pt>
                <c:pt idx="7">
                  <c:v>41227</c:v>
                </c:pt>
                <c:pt idx="8">
                  <c:v>42785</c:v>
                </c:pt>
                <c:pt idx="9">
                  <c:v>45504</c:v>
                </c:pt>
                <c:pt idx="10">
                  <c:v>48975</c:v>
                </c:pt>
                <c:pt idx="11">
                  <c:v>70084</c:v>
                </c:pt>
                <c:pt idx="12">
                  <c:v>59157</c:v>
                </c:pt>
              </c:numCache>
            </c:numRef>
          </c:val>
          <c:extLst xmlns:c16r2="http://schemas.microsoft.com/office/drawing/2015/06/chart">
            <c:ext xmlns:c16="http://schemas.microsoft.com/office/drawing/2014/chart" uri="{C3380CC4-5D6E-409C-BE32-E72D297353CC}">
              <c16:uniqueId val="{00000000-A9CB-4C53-A862-C0C3B4CEDEDF}"/>
            </c:ext>
          </c:extLst>
        </c:ser>
        <c:ser>
          <c:idx val="1"/>
          <c:order val="1"/>
          <c:tx>
            <c:strRef>
              <c:f>Sheet1!$A$60</c:f>
              <c:strCache>
                <c:ptCount val="1"/>
                <c:pt idx="0">
                  <c:v>Total importuri CIF</c:v>
                </c:pt>
              </c:strCache>
            </c:strRef>
          </c:tx>
          <c:invertIfNegative val="0"/>
          <c:dLbls>
            <c:spPr>
              <a:noFill/>
              <a:ln w="25400">
                <a:noFill/>
              </a:ln>
            </c:spPr>
            <c:txPr>
              <a:bodyPr rot="-5400000" vert="horz"/>
              <a:lstStyle/>
              <a:p>
                <a:pPr algn="ct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Sheet1!$L$57:$X$58</c:f>
              <c:multiLvlStrCache>
                <c:ptCount val="13"/>
                <c:lvl>
                  <c:pt idx="0">
                    <c:v>oct.</c:v>
                  </c:pt>
                  <c:pt idx="1">
                    <c:v>nov.</c:v>
                  </c:pt>
                  <c:pt idx="2">
                    <c:v>dec.</c:v>
                  </c:pt>
                  <c:pt idx="3">
                    <c:v>ian.</c:v>
                  </c:pt>
                  <c:pt idx="4">
                    <c:v>feb.</c:v>
                  </c:pt>
                  <c:pt idx="5">
                    <c:v>mar.</c:v>
                  </c:pt>
                  <c:pt idx="6">
                    <c:v>apr.</c:v>
                  </c:pt>
                  <c:pt idx="7">
                    <c:v>mai</c:v>
                  </c:pt>
                  <c:pt idx="8">
                    <c:v>iun.</c:v>
                  </c:pt>
                  <c:pt idx="9">
                    <c:v>iul.</c:v>
                  </c:pt>
                  <c:pt idx="10">
                    <c:v>aug.</c:v>
                  </c:pt>
                  <c:pt idx="11">
                    <c:v>sep.</c:v>
                  </c:pt>
                  <c:pt idx="12">
                    <c:v>oct.</c:v>
                  </c:pt>
                </c:lvl>
                <c:lvl>
                  <c:pt idx="0">
                    <c:v>2019</c:v>
                  </c:pt>
                  <c:pt idx="3">
                    <c:v>2020</c:v>
                  </c:pt>
                </c:lvl>
              </c:multiLvlStrCache>
            </c:multiLvlStrRef>
          </c:cat>
          <c:val>
            <c:numRef>
              <c:f>Sheet1!$L$60:$X$60</c:f>
              <c:numCache>
                <c:formatCode>General</c:formatCode>
                <c:ptCount val="13"/>
                <c:pt idx="0">
                  <c:v>45463</c:v>
                </c:pt>
                <c:pt idx="1">
                  <c:v>34168</c:v>
                </c:pt>
                <c:pt idx="2">
                  <c:v>37563</c:v>
                </c:pt>
                <c:pt idx="3">
                  <c:v>34513</c:v>
                </c:pt>
                <c:pt idx="4">
                  <c:v>37930</c:v>
                </c:pt>
                <c:pt idx="5">
                  <c:v>66697</c:v>
                </c:pt>
                <c:pt idx="6">
                  <c:v>28715</c:v>
                </c:pt>
                <c:pt idx="7">
                  <c:v>55278</c:v>
                </c:pt>
                <c:pt idx="8">
                  <c:v>32179</c:v>
                </c:pt>
                <c:pt idx="9">
                  <c:v>50110</c:v>
                </c:pt>
                <c:pt idx="10">
                  <c:v>35148</c:v>
                </c:pt>
                <c:pt idx="11">
                  <c:v>38535</c:v>
                </c:pt>
                <c:pt idx="12">
                  <c:v>48179</c:v>
                </c:pt>
              </c:numCache>
            </c:numRef>
          </c:val>
          <c:extLst xmlns:c16r2="http://schemas.microsoft.com/office/drawing/2015/06/chart">
            <c:ext xmlns:c16="http://schemas.microsoft.com/office/drawing/2014/chart" uri="{C3380CC4-5D6E-409C-BE32-E72D297353CC}">
              <c16:uniqueId val="{00000001-A9CB-4C53-A862-C0C3B4CEDEDF}"/>
            </c:ext>
          </c:extLst>
        </c:ser>
        <c:ser>
          <c:idx val="2"/>
          <c:order val="2"/>
          <c:tx>
            <c:strRef>
              <c:f>Sheet1!$A$61</c:f>
              <c:strCache>
                <c:ptCount val="1"/>
                <c:pt idx="0">
                  <c:v>Sold FOB/CIF</c:v>
                </c:pt>
              </c:strCache>
            </c:strRef>
          </c:tx>
          <c:invertIfNegative val="0"/>
          <c:dLbls>
            <c:dLbl>
              <c:idx val="0"/>
              <c:layout>
                <c:manualLayout>
                  <c:x val="0"/>
                  <c:y val="2.3074038832815016E-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CB-4C53-A862-C0C3B4CEDEDF}"/>
                </c:ext>
              </c:extLst>
            </c:dLbl>
            <c:dLbl>
              <c:idx val="7"/>
              <c:layout>
                <c:manualLayout>
                  <c:x val="-1.9108277060321213E-2"/>
                  <c:y val="1.1212915677685051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9CB-4C53-A862-C0C3B4CEDEDF}"/>
                </c:ext>
              </c:extLst>
            </c:dLbl>
            <c:dLbl>
              <c:idx val="8"/>
              <c:layout>
                <c:manualLayout>
                  <c:x val="1.6985135164729898E-2"/>
                  <c:y val="1.1212915677685051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9CB-4C53-A862-C0C3B4CEDEDF}"/>
                </c:ext>
              </c:extLst>
            </c:dLbl>
            <c:dLbl>
              <c:idx val="9"/>
              <c:layout>
                <c:manualLayout>
                  <c:x val="-5.4917489189111927E-4"/>
                  <c:y val="-1.867248942365819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9CB-4C53-A862-C0C3B4CEDEDF}"/>
                </c:ext>
              </c:extLst>
            </c:dLbl>
            <c:spPr>
              <a:noFill/>
              <a:ln w="25400">
                <a:noFill/>
              </a:ln>
            </c:spPr>
            <c:txPr>
              <a:bodyPr rot="-5400000" vert="horz"/>
              <a:lstStyle/>
              <a:p>
                <a:pPr algn="ct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Sheet1!$L$57:$X$58</c:f>
              <c:multiLvlStrCache>
                <c:ptCount val="13"/>
                <c:lvl>
                  <c:pt idx="0">
                    <c:v>oct.</c:v>
                  </c:pt>
                  <c:pt idx="1">
                    <c:v>nov.</c:v>
                  </c:pt>
                  <c:pt idx="2">
                    <c:v>dec.</c:v>
                  </c:pt>
                  <c:pt idx="3">
                    <c:v>ian.</c:v>
                  </c:pt>
                  <c:pt idx="4">
                    <c:v>feb.</c:v>
                  </c:pt>
                  <c:pt idx="5">
                    <c:v>mar.</c:v>
                  </c:pt>
                  <c:pt idx="6">
                    <c:v>apr.</c:v>
                  </c:pt>
                  <c:pt idx="7">
                    <c:v>mai</c:v>
                  </c:pt>
                  <c:pt idx="8">
                    <c:v>iun.</c:v>
                  </c:pt>
                  <c:pt idx="9">
                    <c:v>iul.</c:v>
                  </c:pt>
                  <c:pt idx="10">
                    <c:v>aug.</c:v>
                  </c:pt>
                  <c:pt idx="11">
                    <c:v>sep.</c:v>
                  </c:pt>
                  <c:pt idx="12">
                    <c:v>oct.</c:v>
                  </c:pt>
                </c:lvl>
                <c:lvl>
                  <c:pt idx="0">
                    <c:v>2019</c:v>
                  </c:pt>
                  <c:pt idx="3">
                    <c:v>2020</c:v>
                  </c:pt>
                </c:lvl>
              </c:multiLvlStrCache>
            </c:multiLvlStrRef>
          </c:cat>
          <c:val>
            <c:numRef>
              <c:f>Sheet1!$L$61:$X$61</c:f>
              <c:numCache>
                <c:formatCode>General</c:formatCode>
                <c:ptCount val="13"/>
                <c:pt idx="0">
                  <c:v>21620</c:v>
                </c:pt>
                <c:pt idx="1">
                  <c:v>26058</c:v>
                </c:pt>
                <c:pt idx="2">
                  <c:v>12980</c:v>
                </c:pt>
                <c:pt idx="3">
                  <c:v>17183</c:v>
                </c:pt>
                <c:pt idx="4">
                  <c:v>19439</c:v>
                </c:pt>
                <c:pt idx="5">
                  <c:v>-14759</c:v>
                </c:pt>
                <c:pt idx="6">
                  <c:v>14682</c:v>
                </c:pt>
                <c:pt idx="7">
                  <c:v>-14051</c:v>
                </c:pt>
                <c:pt idx="8">
                  <c:v>10606</c:v>
                </c:pt>
                <c:pt idx="9">
                  <c:v>-4606</c:v>
                </c:pt>
                <c:pt idx="10">
                  <c:v>13827</c:v>
                </c:pt>
                <c:pt idx="11">
                  <c:v>31549</c:v>
                </c:pt>
                <c:pt idx="12">
                  <c:v>10978</c:v>
                </c:pt>
              </c:numCache>
            </c:numRef>
          </c:val>
          <c:extLst xmlns:c16r2="http://schemas.microsoft.com/office/drawing/2015/06/chart">
            <c:ext xmlns:c16="http://schemas.microsoft.com/office/drawing/2014/chart" uri="{C3380CC4-5D6E-409C-BE32-E72D297353CC}">
              <c16:uniqueId val="{00000006-A9CB-4C53-A862-C0C3B4CEDEDF}"/>
            </c:ext>
          </c:extLst>
        </c:ser>
        <c:dLbls>
          <c:showLegendKey val="0"/>
          <c:showVal val="0"/>
          <c:showCatName val="0"/>
          <c:showSerName val="0"/>
          <c:showPercent val="0"/>
          <c:showBubbleSize val="0"/>
        </c:dLbls>
        <c:gapWidth val="75"/>
        <c:overlap val="-25"/>
        <c:axId val="165483648"/>
        <c:axId val="165485184"/>
      </c:barChart>
      <c:catAx>
        <c:axId val="165483648"/>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65485184"/>
        <c:crosses val="autoZero"/>
        <c:auto val="1"/>
        <c:lblAlgn val="ctr"/>
        <c:lblOffset val="100"/>
        <c:tickLblSkip val="1"/>
        <c:noMultiLvlLbl val="0"/>
      </c:catAx>
      <c:valAx>
        <c:axId val="165485184"/>
        <c:scaling>
          <c:orientation val="minMax"/>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5483648"/>
        <c:crosses val="autoZero"/>
        <c:crossBetween val="between"/>
      </c:valAx>
    </c:plotArea>
    <c:legend>
      <c:legendPos val="r"/>
      <c:layout>
        <c:manualLayout>
          <c:xMode val="edge"/>
          <c:yMode val="edge"/>
          <c:x val="0.21888506296118779"/>
          <c:y val="0.87568449139529214"/>
          <c:w val="0.57404329409318877"/>
          <c:h val="4.8837166279325217E-2"/>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vi-VN" sz="1600"/>
              <a:t>Indicele de utilizare netă a locurilor de cazare</a:t>
            </a:r>
          </a:p>
        </c:rich>
      </c:tx>
      <c:overlay val="0"/>
      <c:spPr>
        <a:noFill/>
        <a:ln w="25400">
          <a:noFill/>
        </a:ln>
      </c:spPr>
    </c:title>
    <c:autoTitleDeleted val="0"/>
    <c:plotArea>
      <c:layout/>
      <c:lineChart>
        <c:grouping val="standard"/>
        <c:varyColors val="0"/>
        <c:ser>
          <c:idx val="0"/>
          <c:order val="0"/>
          <c:dLbls>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Sheet1!$O$93:$AA$94</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2019</c:v>
                  </c:pt>
                  <c:pt idx="1">
                    <c:v>2020</c:v>
                  </c:pt>
                </c:lvl>
              </c:multiLvlStrCache>
            </c:multiLvlStrRef>
          </c:cat>
          <c:val>
            <c:numRef>
              <c:f>Sheet1!$O$95:$AA$95</c:f>
              <c:numCache>
                <c:formatCode>0.0</c:formatCode>
                <c:ptCount val="13"/>
                <c:pt idx="0">
                  <c:v>12</c:v>
                </c:pt>
                <c:pt idx="1">
                  <c:v>9.4</c:v>
                </c:pt>
                <c:pt idx="2">
                  <c:v>8.5</c:v>
                </c:pt>
                <c:pt idx="3">
                  <c:v>4.2</c:v>
                </c:pt>
                <c:pt idx="4">
                  <c:v>1.9</c:v>
                </c:pt>
                <c:pt idx="5">
                  <c:v>1.7</c:v>
                </c:pt>
                <c:pt idx="6">
                  <c:v>2.6</c:v>
                </c:pt>
                <c:pt idx="7">
                  <c:v>3.8</c:v>
                </c:pt>
                <c:pt idx="8">
                  <c:v>6.5</c:v>
                </c:pt>
                <c:pt idx="9">
                  <c:v>7.2</c:v>
                </c:pt>
                <c:pt idx="10">
                  <c:v>6.8</c:v>
                </c:pt>
                <c:pt idx="11">
                  <c:v>6.2</c:v>
                </c:pt>
                <c:pt idx="12">
                  <c:v>4.5999999999999996</c:v>
                </c:pt>
              </c:numCache>
            </c:numRef>
          </c:val>
          <c:smooth val="0"/>
          <c:extLst xmlns:c16r2="http://schemas.microsoft.com/office/drawing/2015/06/chart">
            <c:ext xmlns:c16="http://schemas.microsoft.com/office/drawing/2014/chart" uri="{C3380CC4-5D6E-409C-BE32-E72D297353CC}">
              <c16:uniqueId val="{00000000-3371-4002-8B38-0F982D90C7A1}"/>
            </c:ext>
          </c:extLst>
        </c:ser>
        <c:dLbls>
          <c:showLegendKey val="0"/>
          <c:showVal val="0"/>
          <c:showCatName val="0"/>
          <c:showSerName val="0"/>
          <c:showPercent val="0"/>
          <c:showBubbleSize val="0"/>
        </c:dLbls>
        <c:marker val="1"/>
        <c:smooth val="0"/>
        <c:axId val="221487104"/>
        <c:axId val="221488640"/>
      </c:lineChart>
      <c:catAx>
        <c:axId val="221487104"/>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1488640"/>
        <c:crosses val="autoZero"/>
        <c:auto val="1"/>
        <c:lblAlgn val="ctr"/>
        <c:lblOffset val="100"/>
        <c:noMultiLvlLbl val="0"/>
      </c:catAx>
      <c:valAx>
        <c:axId val="221488640"/>
        <c:scaling>
          <c:orientation val="minMax"/>
        </c:scaling>
        <c:delete val="0"/>
        <c:axPos val="l"/>
        <c:majorGridlines>
          <c:spPr>
            <a:ln w="12700">
              <a:prstDash val="sysDash"/>
            </a:ln>
          </c:spPr>
        </c:majorGridlines>
        <c:numFmt formatCode="0.0" sourceLinked="1"/>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en-US"/>
          </a:p>
        </c:txPr>
        <c:crossAx val="221487104"/>
        <c:crosses val="autoZero"/>
        <c:crossBetween val="between"/>
      </c:valAx>
    </c:plotArea>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n-US" sz="1400"/>
              <a:t>EFECTIVUL SALARIAŢILOR - la sfârşitul perioadei</a:t>
            </a:r>
          </a:p>
        </c:rich>
      </c:tx>
      <c:layout>
        <c:manualLayout>
          <c:xMode val="edge"/>
          <c:yMode val="edge"/>
          <c:x val="0.22670072490938634"/>
          <c:y val="6.8373929894277232E-3"/>
        </c:manualLayout>
      </c:layout>
      <c:overlay val="0"/>
      <c:spPr>
        <a:noFill/>
        <a:ln w="25400">
          <a:noFill/>
        </a:ln>
      </c:spPr>
    </c:title>
    <c:autoTitleDeleted val="0"/>
    <c:plotArea>
      <c:layout/>
      <c:barChart>
        <c:barDir val="col"/>
        <c:grouping val="stacked"/>
        <c:varyColors val="0"/>
        <c:ser>
          <c:idx val="0"/>
          <c:order val="0"/>
          <c:tx>
            <c:strRef>
              <c:f>Sheet1!$C$125</c:f>
              <c:strCache>
                <c:ptCount val="1"/>
                <c:pt idx="0">
                  <c:v>Agricultură, vânătoare şi servicii anexe, Silvicultură şi Pescuit</c:v>
                </c:pt>
              </c:strCache>
            </c:strRef>
          </c:tx>
          <c:spPr>
            <a:ln>
              <a:solidFill>
                <a:srgbClr val="000000"/>
              </a:solidFill>
            </a:ln>
          </c:spPr>
          <c:invertIfNegative val="0"/>
          <c:dLbls>
            <c:dLbl>
              <c:idx val="0"/>
              <c:layout>
                <c:manualLayout>
                  <c:x val="0"/>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1FC-441F-8509-0BB56EBF32FA}"/>
                </c:ext>
              </c:extLst>
            </c:dLbl>
            <c:spPr>
              <a:noFill/>
              <a:ln w="25400">
                <a:noFill/>
              </a:ln>
            </c:spPr>
            <c:txPr>
              <a:bodyPr rot="0" vertOverflow="overflow" horzOverflow="overflow" vert="horz" wrap="square" lIns="38100" tIns="19050" rIns="38100" bIns="19050" anchor="t" anchorCtr="1">
                <a:spAutoFit/>
              </a:bodyPr>
              <a:lstStyle/>
              <a:p>
                <a:pPr algn="ctr">
                  <a:defRPr sz="800" b="0" i="0" u="none" strike="noStrike" baseline="0">
                    <a:solidFill>
                      <a:sysClr val="windowText" lastClr="000000"/>
                    </a:solidFill>
                    <a:latin typeface="Calibri"/>
                    <a:ea typeface="Calibri"/>
                    <a:cs typeface="Calibri"/>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Sheet1!$O$122:$AA$123</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2019</c:v>
                  </c:pt>
                  <c:pt idx="1">
                    <c:v>2020</c:v>
                  </c:pt>
                </c:lvl>
              </c:multiLvlStrCache>
            </c:multiLvlStrRef>
          </c:cat>
          <c:val>
            <c:numRef>
              <c:f>Sheet1!$O$125:$AA$125</c:f>
              <c:numCache>
                <c:formatCode>General</c:formatCode>
                <c:ptCount val="13"/>
                <c:pt idx="0">
                  <c:v>4357</c:v>
                </c:pt>
                <c:pt idx="1">
                  <c:v>4280</c:v>
                </c:pt>
                <c:pt idx="2">
                  <c:v>4284</c:v>
                </c:pt>
                <c:pt idx="3">
                  <c:v>4268</c:v>
                </c:pt>
                <c:pt idx="4">
                  <c:v>4214</c:v>
                </c:pt>
                <c:pt idx="5">
                  <c:v>4202</c:v>
                </c:pt>
                <c:pt idx="6">
                  <c:v>4205</c:v>
                </c:pt>
                <c:pt idx="7">
                  <c:v>4204</c:v>
                </c:pt>
                <c:pt idx="8">
                  <c:v>4213</c:v>
                </c:pt>
                <c:pt idx="9">
                  <c:v>4224</c:v>
                </c:pt>
                <c:pt idx="10">
                  <c:v>4228</c:v>
                </c:pt>
                <c:pt idx="11">
                  <c:v>4230</c:v>
                </c:pt>
                <c:pt idx="12">
                  <c:v>4216</c:v>
                </c:pt>
              </c:numCache>
            </c:numRef>
          </c:val>
          <c:extLst xmlns:c16r2="http://schemas.microsoft.com/office/drawing/2015/06/chart">
            <c:ext xmlns:c16="http://schemas.microsoft.com/office/drawing/2014/chart" uri="{C3380CC4-5D6E-409C-BE32-E72D297353CC}">
              <c16:uniqueId val="{00000001-C1FC-441F-8509-0BB56EBF32FA}"/>
            </c:ext>
          </c:extLst>
        </c:ser>
        <c:ser>
          <c:idx val="1"/>
          <c:order val="1"/>
          <c:tx>
            <c:strRef>
              <c:f>Sheet1!$C$126</c:f>
              <c:strCache>
                <c:ptCount val="1"/>
                <c:pt idx="0">
                  <c:v>Industrie şi construcţii </c:v>
                </c:pt>
              </c:strCache>
            </c:strRef>
          </c:tx>
          <c:spPr>
            <a:ln>
              <a:solidFill>
                <a:srgbClr val="000000"/>
              </a:solidFill>
            </a:ln>
          </c:spPr>
          <c:invertIfNegative val="0"/>
          <c:dLbls>
            <c:spPr>
              <a:noFill/>
              <a:ln w="25400">
                <a:noFill/>
              </a:ln>
            </c:spPr>
            <c:txPr>
              <a:bodyPr rot="-5400000" vert="horz"/>
              <a:lstStyle/>
              <a:p>
                <a:pPr algn="ct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Sheet1!$O$122:$AA$123</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2019</c:v>
                  </c:pt>
                  <c:pt idx="1">
                    <c:v>2020</c:v>
                  </c:pt>
                </c:lvl>
              </c:multiLvlStrCache>
            </c:multiLvlStrRef>
          </c:cat>
          <c:val>
            <c:numRef>
              <c:f>Sheet1!$O$126:$AA$126</c:f>
              <c:numCache>
                <c:formatCode>General</c:formatCode>
                <c:ptCount val="13"/>
                <c:pt idx="0">
                  <c:v>34429</c:v>
                </c:pt>
                <c:pt idx="1">
                  <c:v>34747</c:v>
                </c:pt>
                <c:pt idx="2">
                  <c:v>34777</c:v>
                </c:pt>
                <c:pt idx="3">
                  <c:v>34644</c:v>
                </c:pt>
                <c:pt idx="4">
                  <c:v>34212</c:v>
                </c:pt>
                <c:pt idx="5">
                  <c:v>34112</c:v>
                </c:pt>
                <c:pt idx="6">
                  <c:v>34138</c:v>
                </c:pt>
                <c:pt idx="7">
                  <c:v>34128</c:v>
                </c:pt>
                <c:pt idx="8">
                  <c:v>34197</c:v>
                </c:pt>
                <c:pt idx="9">
                  <c:v>34290</c:v>
                </c:pt>
                <c:pt idx="10">
                  <c:v>34325</c:v>
                </c:pt>
                <c:pt idx="11">
                  <c:v>34337</c:v>
                </c:pt>
                <c:pt idx="12">
                  <c:v>34224</c:v>
                </c:pt>
              </c:numCache>
            </c:numRef>
          </c:val>
          <c:extLst xmlns:c16r2="http://schemas.microsoft.com/office/drawing/2015/06/chart">
            <c:ext xmlns:c16="http://schemas.microsoft.com/office/drawing/2014/chart" uri="{C3380CC4-5D6E-409C-BE32-E72D297353CC}">
              <c16:uniqueId val="{00000002-C1FC-441F-8509-0BB56EBF32FA}"/>
            </c:ext>
          </c:extLst>
        </c:ser>
        <c:ser>
          <c:idx val="2"/>
          <c:order val="2"/>
          <c:tx>
            <c:strRef>
              <c:f>Sheet1!$C$127</c:f>
              <c:strCache>
                <c:ptCount val="1"/>
                <c:pt idx="0">
                  <c:v>Servicii </c:v>
                </c:pt>
              </c:strCache>
            </c:strRef>
          </c:tx>
          <c:spPr>
            <a:ln>
              <a:solidFill>
                <a:srgbClr val="000000"/>
              </a:solidFill>
            </a:ln>
          </c:spPr>
          <c:invertIfNegative val="0"/>
          <c:dLbls>
            <c:spPr>
              <a:noFill/>
              <a:ln w="25400">
                <a:noFill/>
              </a:ln>
            </c:spPr>
            <c:txPr>
              <a:bodyPr rot="-5400000" vert="horz"/>
              <a:lstStyle/>
              <a:p>
                <a:pPr algn="ct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Sheet1!$O$122:$AA$123</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2019</c:v>
                  </c:pt>
                  <c:pt idx="1">
                    <c:v>2020</c:v>
                  </c:pt>
                </c:lvl>
              </c:multiLvlStrCache>
            </c:multiLvlStrRef>
          </c:cat>
          <c:val>
            <c:numRef>
              <c:f>Sheet1!$O$127:$AA$127</c:f>
              <c:numCache>
                <c:formatCode>General</c:formatCode>
                <c:ptCount val="13"/>
                <c:pt idx="0">
                  <c:v>47142</c:v>
                </c:pt>
                <c:pt idx="1">
                  <c:v>47920</c:v>
                </c:pt>
                <c:pt idx="2">
                  <c:v>47960</c:v>
                </c:pt>
                <c:pt idx="3">
                  <c:v>47776</c:v>
                </c:pt>
                <c:pt idx="4">
                  <c:v>47180</c:v>
                </c:pt>
                <c:pt idx="5">
                  <c:v>47042</c:v>
                </c:pt>
                <c:pt idx="6">
                  <c:v>47078</c:v>
                </c:pt>
                <c:pt idx="7">
                  <c:v>47064</c:v>
                </c:pt>
                <c:pt idx="8">
                  <c:v>47160</c:v>
                </c:pt>
                <c:pt idx="9">
                  <c:v>47288</c:v>
                </c:pt>
                <c:pt idx="10">
                  <c:v>47337</c:v>
                </c:pt>
                <c:pt idx="11">
                  <c:v>47354</c:v>
                </c:pt>
                <c:pt idx="12">
                  <c:v>47198</c:v>
                </c:pt>
              </c:numCache>
            </c:numRef>
          </c:val>
          <c:extLst xmlns:c16r2="http://schemas.microsoft.com/office/drawing/2015/06/chart">
            <c:ext xmlns:c16="http://schemas.microsoft.com/office/drawing/2014/chart" uri="{C3380CC4-5D6E-409C-BE32-E72D297353CC}">
              <c16:uniqueId val="{00000003-C1FC-441F-8509-0BB56EBF32FA}"/>
            </c:ext>
          </c:extLst>
        </c:ser>
        <c:dLbls>
          <c:showLegendKey val="0"/>
          <c:showVal val="0"/>
          <c:showCatName val="0"/>
          <c:showSerName val="0"/>
          <c:showPercent val="0"/>
          <c:showBubbleSize val="0"/>
        </c:dLbls>
        <c:gapWidth val="75"/>
        <c:overlap val="100"/>
        <c:axId val="166205312"/>
        <c:axId val="166206848"/>
      </c:barChart>
      <c:catAx>
        <c:axId val="166205312"/>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6206848"/>
        <c:crosses val="autoZero"/>
        <c:auto val="1"/>
        <c:lblAlgn val="ctr"/>
        <c:lblOffset val="100"/>
        <c:noMultiLvlLbl val="0"/>
      </c:catAx>
      <c:valAx>
        <c:axId val="166206848"/>
        <c:scaling>
          <c:orientation val="minMax"/>
        </c:scaling>
        <c:delete val="0"/>
        <c:axPos val="l"/>
        <c:majorGridlines>
          <c:spPr>
            <a:ln>
              <a:prstDash val="sysDot"/>
            </a:ln>
          </c:spPr>
        </c:majorGridlines>
        <c:numFmt formatCode="General" sourceLinked="1"/>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en-US"/>
          </a:p>
        </c:txPr>
        <c:crossAx val="166205312"/>
        <c:crosses val="autoZero"/>
        <c:crossBetween val="between"/>
      </c:valAx>
    </c:plotArea>
    <c:legend>
      <c:legendPos val="b"/>
      <c:layout>
        <c:manualLayout>
          <c:xMode val="edge"/>
          <c:yMode val="edge"/>
          <c:x val="6.5129046369203858E-2"/>
          <c:y val="0.93544042975936426"/>
          <c:w val="0.76518435195600554"/>
          <c:h val="4.8807859297961609E-2"/>
        </c:manualLayout>
      </c:layout>
      <c:overlay val="0"/>
      <c:txPr>
        <a:bodyPr/>
        <a:lstStyle/>
        <a:p>
          <a:pPr>
            <a:defRPr sz="8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n-US"/>
              <a:t>Evoluţia câştigului salarial mediu nominal net</a:t>
            </a:r>
          </a:p>
        </c:rich>
      </c:tx>
      <c:layout>
        <c:manualLayout>
          <c:xMode val="edge"/>
          <c:yMode val="edge"/>
          <c:x val="0.30558945756780398"/>
          <c:y val="1.9280176184873443E-2"/>
        </c:manualLayout>
      </c:layout>
      <c:overlay val="0"/>
      <c:spPr>
        <a:noFill/>
        <a:ln w="25400">
          <a:noFill/>
        </a:ln>
      </c:spPr>
    </c:title>
    <c:autoTitleDeleted val="0"/>
    <c:plotArea>
      <c:layout>
        <c:manualLayout>
          <c:layoutTarget val="inner"/>
          <c:xMode val="edge"/>
          <c:yMode val="edge"/>
          <c:x val="0.20351797644835162"/>
          <c:y val="0.14216027594251868"/>
          <c:w val="0.78403415718868474"/>
          <c:h val="0.45672891850057207"/>
        </c:manualLayout>
      </c:layout>
      <c:barChart>
        <c:barDir val="col"/>
        <c:grouping val="clustered"/>
        <c:varyColors val="0"/>
        <c:ser>
          <c:idx val="0"/>
          <c:order val="0"/>
          <c:tx>
            <c:strRef>
              <c:f>Sheet1!$D$153</c:f>
              <c:strCache>
                <c:ptCount val="1"/>
                <c:pt idx="0">
                  <c:v>Buzău - lei</c:v>
                </c:pt>
              </c:strCache>
            </c:strRef>
          </c:tx>
          <c:invertIfNegative val="0"/>
          <c:cat>
            <c:multiLvlStrRef>
              <c:f>Sheet1!$P$151:$AB$152</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2019</c:v>
                  </c:pt>
                  <c:pt idx="1">
                    <c:v>2020</c:v>
                  </c:pt>
                </c:lvl>
              </c:multiLvlStrCache>
            </c:multiLvlStrRef>
          </c:cat>
          <c:val>
            <c:numRef>
              <c:f>Sheet1!$P$153:$AB$153</c:f>
              <c:numCache>
                <c:formatCode>0</c:formatCode>
                <c:ptCount val="13"/>
                <c:pt idx="0">
                  <c:v>2670</c:v>
                </c:pt>
                <c:pt idx="1">
                  <c:v>2552</c:v>
                </c:pt>
                <c:pt idx="2" formatCode="General">
                  <c:v>2566</c:v>
                </c:pt>
                <c:pt idx="3" formatCode="General">
                  <c:v>2598</c:v>
                </c:pt>
                <c:pt idx="4" formatCode="General">
                  <c:v>2479</c:v>
                </c:pt>
                <c:pt idx="5">
                  <c:v>2470</c:v>
                </c:pt>
                <c:pt idx="6">
                  <c:v>2572</c:v>
                </c:pt>
                <c:pt idx="7">
                  <c:v>2588</c:v>
                </c:pt>
                <c:pt idx="8">
                  <c:v>2579</c:v>
                </c:pt>
                <c:pt idx="9">
                  <c:v>2596</c:v>
                </c:pt>
                <c:pt idx="10">
                  <c:v>2620</c:v>
                </c:pt>
                <c:pt idx="11">
                  <c:v>2636</c:v>
                </c:pt>
                <c:pt idx="12">
                  <c:v>2773</c:v>
                </c:pt>
              </c:numCache>
            </c:numRef>
          </c:val>
          <c:extLst xmlns:c16r2="http://schemas.microsoft.com/office/drawing/2015/06/chart">
            <c:ext xmlns:c16="http://schemas.microsoft.com/office/drawing/2014/chart" uri="{C3380CC4-5D6E-409C-BE32-E72D297353CC}">
              <c16:uniqueId val="{00000000-CAEB-4DEB-A064-2C78DDE68037}"/>
            </c:ext>
          </c:extLst>
        </c:ser>
        <c:dLbls>
          <c:showLegendKey val="0"/>
          <c:showVal val="0"/>
          <c:showCatName val="0"/>
          <c:showSerName val="0"/>
          <c:showPercent val="0"/>
          <c:showBubbleSize val="0"/>
        </c:dLbls>
        <c:gapWidth val="150"/>
        <c:axId val="166233984"/>
        <c:axId val="166235520"/>
      </c:barChart>
      <c:lineChart>
        <c:grouping val="standard"/>
        <c:varyColors val="0"/>
        <c:ser>
          <c:idx val="1"/>
          <c:order val="1"/>
          <c:tx>
            <c:strRef>
              <c:f>Sheet1!$D$154</c:f>
              <c:strCache>
                <c:ptCount val="1"/>
                <c:pt idx="0">
                  <c:v>România - lei</c:v>
                </c:pt>
              </c:strCache>
            </c:strRef>
          </c:tx>
          <c:marker>
            <c:symbol val="none"/>
          </c:marker>
          <c:cat>
            <c:multiLvlStrRef>
              <c:f>Sheet1!$P$151:$AB$152</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2019</c:v>
                  </c:pt>
                  <c:pt idx="1">
                    <c:v>2020</c:v>
                  </c:pt>
                </c:lvl>
              </c:multiLvlStrCache>
            </c:multiLvlStrRef>
          </c:cat>
          <c:val>
            <c:numRef>
              <c:f>Sheet1!$P$154:$AB$154</c:f>
              <c:numCache>
                <c:formatCode>0</c:formatCode>
                <c:ptCount val="13"/>
                <c:pt idx="0">
                  <c:v>3340</c:v>
                </c:pt>
                <c:pt idx="1">
                  <c:v>3189</c:v>
                </c:pt>
                <c:pt idx="2" formatCode="General">
                  <c:v>3202</c:v>
                </c:pt>
                <c:pt idx="3" formatCode="General">
                  <c:v>3294</c:v>
                </c:pt>
                <c:pt idx="4" formatCode="General">
                  <c:v>3182</c:v>
                </c:pt>
                <c:pt idx="5">
                  <c:v>3179</c:v>
                </c:pt>
                <c:pt idx="6">
                  <c:v>3298</c:v>
                </c:pt>
                <c:pt idx="7">
                  <c:v>3372</c:v>
                </c:pt>
                <c:pt idx="8">
                  <c:v>3275</c:v>
                </c:pt>
                <c:pt idx="9">
                  <c:v>3321</c:v>
                </c:pt>
                <c:pt idx="10">
                  <c:v>3343</c:v>
                </c:pt>
                <c:pt idx="11">
                  <c:v>3411</c:v>
                </c:pt>
                <c:pt idx="12">
                  <c:v>3620</c:v>
                </c:pt>
              </c:numCache>
            </c:numRef>
          </c:val>
          <c:smooth val="0"/>
          <c:extLst xmlns:c16r2="http://schemas.microsoft.com/office/drawing/2015/06/chart">
            <c:ext xmlns:c16="http://schemas.microsoft.com/office/drawing/2014/chart" uri="{C3380CC4-5D6E-409C-BE32-E72D297353CC}">
              <c16:uniqueId val="{00000001-CAEB-4DEB-A064-2C78DDE68037}"/>
            </c:ext>
          </c:extLst>
        </c:ser>
        <c:dLbls>
          <c:showLegendKey val="0"/>
          <c:showVal val="0"/>
          <c:showCatName val="0"/>
          <c:showSerName val="0"/>
          <c:showPercent val="0"/>
          <c:showBubbleSize val="0"/>
        </c:dLbls>
        <c:marker val="1"/>
        <c:smooth val="0"/>
        <c:axId val="166233984"/>
        <c:axId val="166235520"/>
      </c:lineChart>
      <c:catAx>
        <c:axId val="166233984"/>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6235520"/>
        <c:crosses val="autoZero"/>
        <c:auto val="0"/>
        <c:lblAlgn val="ctr"/>
        <c:lblOffset val="100"/>
        <c:noMultiLvlLbl val="0"/>
      </c:catAx>
      <c:valAx>
        <c:axId val="166235520"/>
        <c:scaling>
          <c:orientation val="minMax"/>
        </c:scaling>
        <c:delete val="0"/>
        <c:axPos val="l"/>
        <c:majorGridlines>
          <c:spPr>
            <a:ln>
              <a:prstDash val="sysDot"/>
            </a:ln>
          </c:spPr>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6233984"/>
        <c:crosses val="autoZero"/>
        <c:crossBetween val="between"/>
      </c:valAx>
      <c:dTable>
        <c:showHorzBorder val="1"/>
        <c:showVertBorder val="1"/>
        <c:showOutline val="1"/>
        <c:showKeys val="1"/>
        <c:txPr>
          <a:bodyPr/>
          <a:lstStyle/>
          <a:p>
            <a:pPr rtl="0">
              <a:defRPr sz="1000" b="0" i="0" u="none" strike="noStrike" baseline="0">
                <a:solidFill>
                  <a:srgbClr val="000000"/>
                </a:solidFill>
                <a:latin typeface="Calibri"/>
                <a:ea typeface="Calibri"/>
                <a:cs typeface="Calibri"/>
              </a:defRPr>
            </a:pPr>
            <a:endParaRPr lang="en-US"/>
          </a:p>
        </c:txPr>
      </c:dTable>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a:t>Rata </a:t>
            </a:r>
            <a:r>
              <a:rPr lang="ro-RO" sz="1600" b="1"/>
              <a:t>şomajului</a:t>
            </a:r>
            <a:endParaRPr lang="en-US" sz="1600" b="1"/>
          </a:p>
        </c:rich>
      </c:tx>
      <c:layout>
        <c:manualLayout>
          <c:xMode val="edge"/>
          <c:yMode val="edge"/>
          <c:x val="0.34759520059992499"/>
          <c:y val="1.7429193899782137E-2"/>
        </c:manualLayout>
      </c:layout>
      <c:overlay val="0"/>
      <c:spPr>
        <a:noFill/>
        <a:ln w="25400">
          <a:noFill/>
        </a:ln>
      </c:spPr>
    </c:title>
    <c:autoTitleDeleted val="0"/>
    <c:plotArea>
      <c:layout>
        <c:manualLayout>
          <c:layoutTarget val="inner"/>
          <c:xMode val="edge"/>
          <c:yMode val="edge"/>
          <c:x val="6.6628589336780661E-2"/>
          <c:y val="9.884251396679998E-2"/>
          <c:w val="0.91148086339953771"/>
          <c:h val="0.68473470227986233"/>
        </c:manualLayout>
      </c:layout>
      <c:lineChart>
        <c:grouping val="standard"/>
        <c:varyColors val="0"/>
        <c:ser>
          <c:idx val="0"/>
          <c:order val="0"/>
          <c:tx>
            <c:strRef>
              <c:f>Sheet1!$D$182</c:f>
              <c:strCache>
                <c:ptCount val="1"/>
                <c:pt idx="0">
                  <c:v>Buzău</c:v>
                </c:pt>
              </c:strCache>
            </c:strRef>
          </c:tx>
          <c:dLbls>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Sheet1!$P$180:$AB$181</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2019</c:v>
                  </c:pt>
                  <c:pt idx="1">
                    <c:v>2020</c:v>
                  </c:pt>
                </c:lvl>
              </c:multiLvlStrCache>
            </c:multiLvlStrRef>
          </c:cat>
          <c:val>
            <c:numRef>
              <c:f>Sheet1!$P$182:$AB$182</c:f>
              <c:numCache>
                <c:formatCode>General</c:formatCode>
                <c:ptCount val="13"/>
                <c:pt idx="0">
                  <c:v>6.6</c:v>
                </c:pt>
                <c:pt idx="1">
                  <c:v>6.5</c:v>
                </c:pt>
                <c:pt idx="2">
                  <c:v>6.5</c:v>
                </c:pt>
                <c:pt idx="3">
                  <c:v>6.4</c:v>
                </c:pt>
                <c:pt idx="4">
                  <c:v>6.5</c:v>
                </c:pt>
                <c:pt idx="5">
                  <c:v>6.6</c:v>
                </c:pt>
                <c:pt idx="6">
                  <c:v>6.7</c:v>
                </c:pt>
                <c:pt idx="7">
                  <c:v>7.2</c:v>
                </c:pt>
                <c:pt idx="8">
                  <c:v>7.2</c:v>
                </c:pt>
                <c:pt idx="9" formatCode="0.0">
                  <c:v>7</c:v>
                </c:pt>
                <c:pt idx="10" formatCode="0.0">
                  <c:v>6.9</c:v>
                </c:pt>
                <c:pt idx="11">
                  <c:v>7.2</c:v>
                </c:pt>
                <c:pt idx="12">
                  <c:v>7.8</c:v>
                </c:pt>
              </c:numCache>
            </c:numRef>
          </c:val>
          <c:smooth val="0"/>
          <c:extLst xmlns:c16r2="http://schemas.microsoft.com/office/drawing/2015/06/chart">
            <c:ext xmlns:c16="http://schemas.microsoft.com/office/drawing/2014/chart" uri="{C3380CC4-5D6E-409C-BE32-E72D297353CC}">
              <c16:uniqueId val="{00000000-70CE-490A-A1FD-DE1A56152568}"/>
            </c:ext>
          </c:extLst>
        </c:ser>
        <c:ser>
          <c:idx val="1"/>
          <c:order val="1"/>
          <c:tx>
            <c:strRef>
              <c:f>Sheet1!$D$183</c:f>
              <c:strCache>
                <c:ptCount val="1"/>
                <c:pt idx="0">
                  <c:v>România</c:v>
                </c:pt>
              </c:strCache>
            </c:strRef>
          </c:tx>
          <c:dLbls>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Sheet1!$P$180:$AB$181</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2019</c:v>
                  </c:pt>
                  <c:pt idx="1">
                    <c:v>2020</c:v>
                  </c:pt>
                </c:lvl>
              </c:multiLvlStrCache>
            </c:multiLvlStrRef>
          </c:cat>
          <c:val>
            <c:numRef>
              <c:f>Sheet1!$P$183:$AB$183</c:f>
              <c:numCache>
                <c:formatCode>0.0</c:formatCode>
                <c:ptCount val="13"/>
                <c:pt idx="0">
                  <c:v>2.9</c:v>
                </c:pt>
                <c:pt idx="1">
                  <c:v>3</c:v>
                </c:pt>
                <c:pt idx="2">
                  <c:v>2.9</c:v>
                </c:pt>
                <c:pt idx="3" formatCode="General">
                  <c:v>2.9</c:v>
                </c:pt>
                <c:pt idx="4">
                  <c:v>2.9</c:v>
                </c:pt>
                <c:pt idx="5" formatCode="General">
                  <c:v>2.9</c:v>
                </c:pt>
                <c:pt idx="6">
                  <c:v>3</c:v>
                </c:pt>
                <c:pt idx="7">
                  <c:v>3.2</c:v>
                </c:pt>
                <c:pt idx="8">
                  <c:v>3.3</c:v>
                </c:pt>
                <c:pt idx="9">
                  <c:v>3.3</c:v>
                </c:pt>
                <c:pt idx="10">
                  <c:v>3.3</c:v>
                </c:pt>
                <c:pt idx="11">
                  <c:v>3.3</c:v>
                </c:pt>
                <c:pt idx="12">
                  <c:v>3.4</c:v>
                </c:pt>
              </c:numCache>
            </c:numRef>
          </c:val>
          <c:smooth val="0"/>
          <c:extLst xmlns:c16r2="http://schemas.microsoft.com/office/drawing/2015/06/chart">
            <c:ext xmlns:c16="http://schemas.microsoft.com/office/drawing/2014/chart" uri="{C3380CC4-5D6E-409C-BE32-E72D297353CC}">
              <c16:uniqueId val="{00000001-70CE-490A-A1FD-DE1A56152568}"/>
            </c:ext>
          </c:extLst>
        </c:ser>
        <c:dLbls>
          <c:showLegendKey val="0"/>
          <c:showVal val="0"/>
          <c:showCatName val="0"/>
          <c:showSerName val="0"/>
          <c:showPercent val="0"/>
          <c:showBubbleSize val="0"/>
        </c:dLbls>
        <c:marker val="1"/>
        <c:smooth val="0"/>
        <c:axId val="224415104"/>
        <c:axId val="224420992"/>
      </c:lineChart>
      <c:catAx>
        <c:axId val="224415104"/>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4420992"/>
        <c:crosses val="autoZero"/>
        <c:auto val="1"/>
        <c:lblAlgn val="ctr"/>
        <c:lblOffset val="100"/>
        <c:noMultiLvlLbl val="0"/>
      </c:catAx>
      <c:valAx>
        <c:axId val="224420992"/>
        <c:scaling>
          <c:orientation val="minMax"/>
        </c:scaling>
        <c:delete val="0"/>
        <c:axPos val="l"/>
        <c:majorGridlines/>
        <c:numFmt formatCode="#,##0.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4415104"/>
        <c:crosses val="autoZero"/>
        <c:crossBetween val="between"/>
      </c:valAx>
    </c:plotArea>
    <c:legend>
      <c:legendPos val="b"/>
      <c:overlay val="0"/>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n-US" sz="1600"/>
              <a:t>Indicatori demografici</a:t>
            </a:r>
          </a:p>
        </c:rich>
      </c:tx>
      <c:layout>
        <c:manualLayout>
          <c:xMode val="edge"/>
          <c:yMode val="edge"/>
          <c:x val="0.39939110615464912"/>
          <c:y val="1.7718749011795213E-2"/>
        </c:manualLayout>
      </c:layout>
      <c:overlay val="1"/>
      <c:spPr>
        <a:noFill/>
        <a:ln w="25400">
          <a:noFill/>
        </a:ln>
      </c:spPr>
    </c:title>
    <c:autoTitleDeleted val="0"/>
    <c:plotArea>
      <c:layout>
        <c:manualLayout>
          <c:layoutTarget val="inner"/>
          <c:xMode val="edge"/>
          <c:yMode val="edge"/>
          <c:x val="0.17193852282087344"/>
          <c:y val="8.5851187206250373E-2"/>
          <c:w val="0.77365049340899483"/>
          <c:h val="0.5546875"/>
        </c:manualLayout>
      </c:layout>
      <c:barChart>
        <c:barDir val="col"/>
        <c:grouping val="stacked"/>
        <c:varyColors val="0"/>
        <c:ser>
          <c:idx val="0"/>
          <c:order val="0"/>
          <c:tx>
            <c:strRef>
              <c:f>Sheet1!$D$212</c:f>
              <c:strCache>
                <c:ptCount val="1"/>
                <c:pt idx="0">
                  <c:v>   Născuţi-vii</c:v>
                </c:pt>
              </c:strCache>
            </c:strRef>
          </c:tx>
          <c:spPr>
            <a:solidFill>
              <a:srgbClr val="4572A7"/>
            </a:solidFill>
            <a:ln w="12700">
              <a:solidFill>
                <a:srgbClr val="000000"/>
              </a:solidFill>
              <a:prstDash val="solid"/>
            </a:ln>
          </c:spPr>
          <c:invertIfNegative val="0"/>
          <c:cat>
            <c:multiLvlStrRef>
              <c:f>Sheet1!$P$210:$AB$211</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2019*</c:v>
                  </c:pt>
                  <c:pt idx="1">
                    <c:v>2020**</c:v>
                  </c:pt>
                </c:lvl>
              </c:multiLvlStrCache>
            </c:multiLvlStrRef>
          </c:cat>
          <c:val>
            <c:numRef>
              <c:f>Sheet1!$P$212:$AB$212</c:f>
              <c:numCache>
                <c:formatCode>General</c:formatCode>
                <c:ptCount val="13"/>
                <c:pt idx="0">
                  <c:v>293</c:v>
                </c:pt>
                <c:pt idx="1">
                  <c:v>341</c:v>
                </c:pt>
                <c:pt idx="2">
                  <c:v>220</c:v>
                </c:pt>
                <c:pt idx="3">
                  <c:v>206</c:v>
                </c:pt>
                <c:pt idx="4">
                  <c:v>239</c:v>
                </c:pt>
                <c:pt idx="5">
                  <c:v>266</c:v>
                </c:pt>
                <c:pt idx="6">
                  <c:v>271</c:v>
                </c:pt>
                <c:pt idx="7">
                  <c:v>284</c:v>
                </c:pt>
                <c:pt idx="8">
                  <c:v>270</c:v>
                </c:pt>
                <c:pt idx="9">
                  <c:v>289</c:v>
                </c:pt>
                <c:pt idx="10">
                  <c:v>295</c:v>
                </c:pt>
                <c:pt idx="11">
                  <c:v>248</c:v>
                </c:pt>
                <c:pt idx="12">
                  <c:v>279</c:v>
                </c:pt>
              </c:numCache>
            </c:numRef>
          </c:val>
          <c:extLst xmlns:c16r2="http://schemas.microsoft.com/office/drawing/2015/06/chart">
            <c:ext xmlns:c16="http://schemas.microsoft.com/office/drawing/2014/chart" uri="{C3380CC4-5D6E-409C-BE32-E72D297353CC}">
              <c16:uniqueId val="{00000000-2740-4440-9E8A-914077DC5DE6}"/>
            </c:ext>
          </c:extLst>
        </c:ser>
        <c:ser>
          <c:idx val="1"/>
          <c:order val="1"/>
          <c:tx>
            <c:strRef>
              <c:f>Sheet1!$D$213</c:f>
              <c:strCache>
                <c:ptCount val="1"/>
                <c:pt idx="0">
                  <c:v>   Decedaţi</c:v>
                </c:pt>
              </c:strCache>
            </c:strRef>
          </c:tx>
          <c:spPr>
            <a:solidFill>
              <a:srgbClr val="993366"/>
            </a:solidFill>
            <a:ln w="12700">
              <a:solidFill>
                <a:srgbClr val="000000"/>
              </a:solidFill>
              <a:prstDash val="solid"/>
            </a:ln>
          </c:spPr>
          <c:invertIfNegative val="0"/>
          <c:cat>
            <c:multiLvlStrRef>
              <c:f>Sheet1!$P$210:$AB$211</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2019*</c:v>
                  </c:pt>
                  <c:pt idx="1">
                    <c:v>2020**</c:v>
                  </c:pt>
                </c:lvl>
              </c:multiLvlStrCache>
            </c:multiLvlStrRef>
          </c:cat>
          <c:val>
            <c:numRef>
              <c:f>Sheet1!$P$213:$AB$213</c:f>
              <c:numCache>
                <c:formatCode>General</c:formatCode>
                <c:ptCount val="13"/>
                <c:pt idx="0">
                  <c:v>581</c:v>
                </c:pt>
                <c:pt idx="1">
                  <c:v>630</c:v>
                </c:pt>
                <c:pt idx="2">
                  <c:v>581</c:v>
                </c:pt>
                <c:pt idx="3">
                  <c:v>565</c:v>
                </c:pt>
                <c:pt idx="4">
                  <c:v>516</c:v>
                </c:pt>
                <c:pt idx="5">
                  <c:v>502</c:v>
                </c:pt>
                <c:pt idx="6">
                  <c:v>529</c:v>
                </c:pt>
                <c:pt idx="7">
                  <c:v>550</c:v>
                </c:pt>
                <c:pt idx="8">
                  <c:v>602</c:v>
                </c:pt>
                <c:pt idx="9">
                  <c:v>547</c:v>
                </c:pt>
                <c:pt idx="10">
                  <c:v>636</c:v>
                </c:pt>
                <c:pt idx="11">
                  <c:v>795</c:v>
                </c:pt>
                <c:pt idx="12">
                  <c:v>852</c:v>
                </c:pt>
              </c:numCache>
            </c:numRef>
          </c:val>
          <c:extLst xmlns:c16r2="http://schemas.microsoft.com/office/drawing/2015/06/chart">
            <c:ext xmlns:c16="http://schemas.microsoft.com/office/drawing/2014/chart" uri="{C3380CC4-5D6E-409C-BE32-E72D297353CC}">
              <c16:uniqueId val="{00000001-2740-4440-9E8A-914077DC5DE6}"/>
            </c:ext>
          </c:extLst>
        </c:ser>
        <c:ser>
          <c:idx val="2"/>
          <c:order val="2"/>
          <c:tx>
            <c:strRef>
              <c:f>Sheet1!$D$214</c:f>
              <c:strCache>
                <c:ptCount val="1"/>
                <c:pt idx="0">
                  <c:v>   Spor natural</c:v>
                </c:pt>
              </c:strCache>
            </c:strRef>
          </c:tx>
          <c:spPr>
            <a:solidFill>
              <a:srgbClr val="89A54E"/>
            </a:solidFill>
            <a:ln w="12700">
              <a:solidFill>
                <a:srgbClr val="000000"/>
              </a:solidFill>
              <a:prstDash val="solid"/>
            </a:ln>
          </c:spPr>
          <c:invertIfNegative val="0"/>
          <c:cat>
            <c:multiLvlStrRef>
              <c:f>Sheet1!$P$210:$AB$211</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2019*</c:v>
                  </c:pt>
                  <c:pt idx="1">
                    <c:v>2020**</c:v>
                  </c:pt>
                </c:lvl>
              </c:multiLvlStrCache>
            </c:multiLvlStrRef>
          </c:cat>
          <c:val>
            <c:numRef>
              <c:f>Sheet1!$P$214:$AB$214</c:f>
              <c:numCache>
                <c:formatCode>General</c:formatCode>
                <c:ptCount val="13"/>
                <c:pt idx="0">
                  <c:v>-288</c:v>
                </c:pt>
                <c:pt idx="1">
                  <c:v>-289</c:v>
                </c:pt>
                <c:pt idx="2">
                  <c:v>-361</c:v>
                </c:pt>
                <c:pt idx="3">
                  <c:v>-359</c:v>
                </c:pt>
                <c:pt idx="4">
                  <c:v>-277</c:v>
                </c:pt>
                <c:pt idx="5">
                  <c:v>-236</c:v>
                </c:pt>
                <c:pt idx="6">
                  <c:v>-258</c:v>
                </c:pt>
                <c:pt idx="7">
                  <c:v>-266</c:v>
                </c:pt>
                <c:pt idx="8">
                  <c:v>-332</c:v>
                </c:pt>
                <c:pt idx="9">
                  <c:v>-258</c:v>
                </c:pt>
                <c:pt idx="10">
                  <c:v>-341</c:v>
                </c:pt>
                <c:pt idx="11">
                  <c:v>-547</c:v>
                </c:pt>
                <c:pt idx="12">
                  <c:v>-573</c:v>
                </c:pt>
              </c:numCache>
            </c:numRef>
          </c:val>
          <c:extLst xmlns:c16r2="http://schemas.microsoft.com/office/drawing/2015/06/chart">
            <c:ext xmlns:c16="http://schemas.microsoft.com/office/drawing/2014/chart" uri="{C3380CC4-5D6E-409C-BE32-E72D297353CC}">
              <c16:uniqueId val="{00000002-2740-4440-9E8A-914077DC5DE6}"/>
            </c:ext>
          </c:extLst>
        </c:ser>
        <c:ser>
          <c:idx val="3"/>
          <c:order val="3"/>
          <c:tx>
            <c:strRef>
              <c:f>Sheet1!$D$215</c:f>
              <c:strCache>
                <c:ptCount val="1"/>
                <c:pt idx="0">
                  <c:v>   Căsătorii</c:v>
                </c:pt>
              </c:strCache>
            </c:strRef>
          </c:tx>
          <c:spPr>
            <a:solidFill>
              <a:srgbClr val="CCFFFF"/>
            </a:solidFill>
            <a:ln w="12700">
              <a:solidFill>
                <a:srgbClr val="000000"/>
              </a:solidFill>
              <a:prstDash val="solid"/>
            </a:ln>
          </c:spPr>
          <c:invertIfNegative val="0"/>
          <c:cat>
            <c:multiLvlStrRef>
              <c:f>Sheet1!$P$210:$AB$211</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2019*</c:v>
                  </c:pt>
                  <c:pt idx="1">
                    <c:v>2020**</c:v>
                  </c:pt>
                </c:lvl>
              </c:multiLvlStrCache>
            </c:multiLvlStrRef>
          </c:cat>
          <c:val>
            <c:numRef>
              <c:f>Sheet1!$P$215:$AB$215</c:f>
              <c:numCache>
                <c:formatCode>General</c:formatCode>
                <c:ptCount val="13"/>
                <c:pt idx="0">
                  <c:v>111</c:v>
                </c:pt>
                <c:pt idx="1">
                  <c:v>86</c:v>
                </c:pt>
                <c:pt idx="2">
                  <c:v>105</c:v>
                </c:pt>
                <c:pt idx="3">
                  <c:v>59</c:v>
                </c:pt>
                <c:pt idx="4">
                  <c:v>12</c:v>
                </c:pt>
                <c:pt idx="5">
                  <c:v>35</c:v>
                </c:pt>
                <c:pt idx="6">
                  <c:v>113</c:v>
                </c:pt>
                <c:pt idx="7">
                  <c:v>202</c:v>
                </c:pt>
                <c:pt idx="8">
                  <c:v>292</c:v>
                </c:pt>
                <c:pt idx="9">
                  <c:v>277</c:v>
                </c:pt>
                <c:pt idx="10">
                  <c:v>201</c:v>
                </c:pt>
                <c:pt idx="11">
                  <c:v>87</c:v>
                </c:pt>
                <c:pt idx="12">
                  <c:v>53</c:v>
                </c:pt>
              </c:numCache>
            </c:numRef>
          </c:val>
          <c:extLst xmlns:c16r2="http://schemas.microsoft.com/office/drawing/2015/06/chart">
            <c:ext xmlns:c16="http://schemas.microsoft.com/office/drawing/2014/chart" uri="{C3380CC4-5D6E-409C-BE32-E72D297353CC}">
              <c16:uniqueId val="{00000003-2740-4440-9E8A-914077DC5DE6}"/>
            </c:ext>
          </c:extLst>
        </c:ser>
        <c:ser>
          <c:idx val="4"/>
          <c:order val="4"/>
          <c:tx>
            <c:strRef>
              <c:f>Sheet1!$D$216</c:f>
              <c:strCache>
                <c:ptCount val="1"/>
                <c:pt idx="0">
                  <c:v>   Divorţuri</c:v>
                </c:pt>
              </c:strCache>
            </c:strRef>
          </c:tx>
          <c:spPr>
            <a:solidFill>
              <a:srgbClr val="4198AF"/>
            </a:solidFill>
            <a:ln w="12700">
              <a:solidFill>
                <a:srgbClr val="000000"/>
              </a:solidFill>
              <a:prstDash val="solid"/>
            </a:ln>
          </c:spPr>
          <c:invertIfNegative val="0"/>
          <c:cat>
            <c:multiLvlStrRef>
              <c:f>Sheet1!$P$210:$AB$211</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2019*</c:v>
                  </c:pt>
                  <c:pt idx="1">
                    <c:v>2020**</c:v>
                  </c:pt>
                </c:lvl>
              </c:multiLvlStrCache>
            </c:multiLvlStrRef>
          </c:cat>
          <c:val>
            <c:numRef>
              <c:f>Sheet1!$P$216:$AB$216</c:f>
              <c:numCache>
                <c:formatCode>General</c:formatCode>
                <c:ptCount val="13"/>
                <c:pt idx="0">
                  <c:v>32</c:v>
                </c:pt>
                <c:pt idx="1">
                  <c:v>5</c:v>
                </c:pt>
                <c:pt idx="2">
                  <c:v>39</c:v>
                </c:pt>
                <c:pt idx="3">
                  <c:v>36</c:v>
                </c:pt>
                <c:pt idx="4">
                  <c:v>23</c:v>
                </c:pt>
                <c:pt idx="5">
                  <c:v>28</c:v>
                </c:pt>
                <c:pt idx="6">
                  <c:v>44</c:v>
                </c:pt>
                <c:pt idx="7">
                  <c:v>43</c:v>
                </c:pt>
                <c:pt idx="8">
                  <c:v>30</c:v>
                </c:pt>
                <c:pt idx="9">
                  <c:v>33</c:v>
                </c:pt>
                <c:pt idx="10">
                  <c:v>33</c:v>
                </c:pt>
                <c:pt idx="11">
                  <c:v>31</c:v>
                </c:pt>
                <c:pt idx="12">
                  <c:v>35</c:v>
                </c:pt>
              </c:numCache>
            </c:numRef>
          </c:val>
          <c:extLst xmlns:c16r2="http://schemas.microsoft.com/office/drawing/2015/06/chart">
            <c:ext xmlns:c16="http://schemas.microsoft.com/office/drawing/2014/chart" uri="{C3380CC4-5D6E-409C-BE32-E72D297353CC}">
              <c16:uniqueId val="{00000004-2740-4440-9E8A-914077DC5DE6}"/>
            </c:ext>
          </c:extLst>
        </c:ser>
        <c:ser>
          <c:idx val="5"/>
          <c:order val="5"/>
          <c:tx>
            <c:strRef>
              <c:f>Sheet1!$D$217</c:f>
              <c:strCache>
                <c:ptCount val="1"/>
                <c:pt idx="0">
                  <c:v>   Decedaţi sub 1 an</c:v>
                </c:pt>
              </c:strCache>
            </c:strRef>
          </c:tx>
          <c:invertIfNegative val="0"/>
          <c:cat>
            <c:multiLvlStrRef>
              <c:f>Sheet1!$P$210:$AB$211</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2019*</c:v>
                  </c:pt>
                  <c:pt idx="1">
                    <c:v>2020**</c:v>
                  </c:pt>
                </c:lvl>
              </c:multiLvlStrCache>
            </c:multiLvlStrRef>
          </c:cat>
          <c:val>
            <c:numRef>
              <c:f>Sheet1!$P$217:$AB$217</c:f>
              <c:numCache>
                <c:formatCode>General</c:formatCode>
                <c:ptCount val="13"/>
                <c:pt idx="0">
                  <c:v>1</c:v>
                </c:pt>
                <c:pt idx="1">
                  <c:v>1</c:v>
                </c:pt>
                <c:pt idx="2">
                  <c:v>2</c:v>
                </c:pt>
                <c:pt idx="3">
                  <c:v>2</c:v>
                </c:pt>
                <c:pt idx="4">
                  <c:v>0</c:v>
                </c:pt>
                <c:pt idx="5">
                  <c:v>0</c:v>
                </c:pt>
                <c:pt idx="6">
                  <c:v>1</c:v>
                </c:pt>
                <c:pt idx="7">
                  <c:v>0</c:v>
                </c:pt>
                <c:pt idx="8">
                  <c:v>2</c:v>
                </c:pt>
                <c:pt idx="9">
                  <c:v>1</c:v>
                </c:pt>
                <c:pt idx="10">
                  <c:v>2</c:v>
                </c:pt>
                <c:pt idx="11">
                  <c:v>0</c:v>
                </c:pt>
                <c:pt idx="12">
                  <c:v>1</c:v>
                </c:pt>
              </c:numCache>
            </c:numRef>
          </c:val>
          <c:extLst xmlns:c16r2="http://schemas.microsoft.com/office/drawing/2015/06/chart">
            <c:ext xmlns:c16="http://schemas.microsoft.com/office/drawing/2014/chart" uri="{C3380CC4-5D6E-409C-BE32-E72D297353CC}">
              <c16:uniqueId val="{00000005-2740-4440-9E8A-914077DC5DE6}"/>
            </c:ext>
          </c:extLst>
        </c:ser>
        <c:dLbls>
          <c:showLegendKey val="0"/>
          <c:showVal val="0"/>
          <c:showCatName val="0"/>
          <c:showSerName val="0"/>
          <c:showPercent val="0"/>
          <c:showBubbleSize val="0"/>
        </c:dLbls>
        <c:gapWidth val="100"/>
        <c:overlap val="100"/>
        <c:axId val="224530432"/>
        <c:axId val="224531968"/>
      </c:barChart>
      <c:catAx>
        <c:axId val="22453043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4531968"/>
        <c:crosses val="autoZero"/>
        <c:auto val="1"/>
        <c:lblAlgn val="ctr"/>
        <c:lblOffset val="100"/>
        <c:noMultiLvlLbl val="0"/>
      </c:catAx>
      <c:valAx>
        <c:axId val="224531968"/>
        <c:scaling>
          <c:orientation val="minMax"/>
        </c:scaling>
        <c:delete val="0"/>
        <c:axPos val="l"/>
        <c:majorGridlines>
          <c:spPr>
            <a:ln>
              <a:prstDash val="sysDot"/>
            </a:ln>
          </c:spPr>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4530432"/>
        <c:crosses val="autoZero"/>
        <c:crossBetween val="between"/>
      </c:valAx>
      <c:dTable>
        <c:showHorzBorder val="1"/>
        <c:showVertBorder val="1"/>
        <c:showOutline val="1"/>
        <c:showKeys val="1"/>
        <c:spPr>
          <a:ln w="3175">
            <a:solidFill>
              <a:srgbClr val="000000"/>
            </a:solidFill>
            <a:prstDash val="solid"/>
          </a:ln>
        </c:spPr>
        <c:txPr>
          <a:bodyPr/>
          <a:lstStyle/>
          <a:p>
            <a:pPr rtl="0">
              <a:defRPr sz="1000" b="0" i="0" u="none" strike="noStrike" baseline="0">
                <a:solidFill>
                  <a:srgbClr val="000000"/>
                </a:solidFill>
                <a:latin typeface="Calibri"/>
                <a:ea typeface="Calibri"/>
                <a:cs typeface="Calibri"/>
              </a:defRPr>
            </a:pPr>
            <a:endParaRPr lang="en-US"/>
          </a:p>
        </c:txPr>
      </c:dTable>
    </c:plotArea>
    <c:plotVisOnly val="1"/>
    <c:dispBlanksAs val="zero"/>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0.03126</cdr:x>
      <cdr:y>0.05854</cdr:y>
    </cdr:from>
    <cdr:to>
      <cdr:x>0.07517</cdr:x>
      <cdr:y>0.14878</cdr:y>
    </cdr:to>
    <cdr:sp macro="" textlink="">
      <cdr:nvSpPr>
        <cdr:cNvPr id="3" name="TextBox 2"/>
        <cdr:cNvSpPr txBox="1"/>
      </cdr:nvSpPr>
      <cdr:spPr>
        <a:xfrm xmlns:a="http://schemas.openxmlformats.org/drawingml/2006/main">
          <a:off x="219555" y="164459"/>
          <a:ext cx="308364" cy="2535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0.04001</cdr:x>
      <cdr:y>0.04975</cdr:y>
    </cdr:from>
    <cdr:to>
      <cdr:x>0.08586</cdr:x>
      <cdr:y>0.14246</cdr:y>
    </cdr:to>
    <cdr:sp macro="" textlink="">
      <cdr:nvSpPr>
        <cdr:cNvPr id="2" name="TextBox 1"/>
        <cdr:cNvSpPr txBox="1"/>
      </cdr:nvSpPr>
      <cdr:spPr>
        <a:xfrm xmlns:a="http://schemas.openxmlformats.org/drawingml/2006/main">
          <a:off x="280953" y="150756"/>
          <a:ext cx="322069" cy="2809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0.03279</cdr:x>
      <cdr:y>0.03664</cdr:y>
    </cdr:from>
    <cdr:to>
      <cdr:x>0.07767</cdr:x>
      <cdr:y>0.12709</cdr:y>
    </cdr:to>
    <cdr:sp macro="" textlink="">
      <cdr:nvSpPr>
        <cdr:cNvPr id="3" name="TextBox 2"/>
        <cdr:cNvSpPr txBox="1"/>
      </cdr:nvSpPr>
      <cdr:spPr>
        <a:xfrm xmlns:a="http://schemas.openxmlformats.org/drawingml/2006/main">
          <a:off x="230205" y="110277"/>
          <a:ext cx="315055" cy="2722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0.06236</cdr:x>
      <cdr:y>0.03807</cdr:y>
    </cdr:from>
    <cdr:to>
      <cdr:x>0.20044</cdr:x>
      <cdr:y>0.13198</cdr:y>
    </cdr:to>
    <cdr:sp macro="" textlink="">
      <cdr:nvSpPr>
        <cdr:cNvPr id="2" name="TextBox 1"/>
        <cdr:cNvSpPr txBox="1"/>
      </cdr:nvSpPr>
      <cdr:spPr>
        <a:xfrm xmlns:a="http://schemas.openxmlformats.org/drawingml/2006/main">
          <a:off x="400049" y="142875"/>
          <a:ext cx="914400"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t>mii euro</a:t>
          </a:r>
        </a:p>
      </cdr:txBody>
    </cdr:sp>
  </cdr:relSizeAnchor>
</c:userShapes>
</file>

<file path=word/drawings/drawing4.xml><?xml version="1.0" encoding="utf-8"?>
<c:userShapes xmlns:c="http://schemas.openxmlformats.org/drawingml/2006/chart">
  <cdr:relSizeAnchor xmlns:cdr="http://schemas.openxmlformats.org/drawingml/2006/chartDrawing">
    <cdr:from>
      <cdr:x>0.03058</cdr:x>
      <cdr:y>0.03668</cdr:y>
    </cdr:from>
    <cdr:to>
      <cdr:x>0.08105</cdr:x>
      <cdr:y>0.12348</cdr:y>
    </cdr:to>
    <cdr:sp macro="" textlink="">
      <cdr:nvSpPr>
        <cdr:cNvPr id="2" name="TextBox 1"/>
        <cdr:cNvSpPr txBox="1"/>
      </cdr:nvSpPr>
      <cdr:spPr>
        <a:xfrm xmlns:a="http://schemas.openxmlformats.org/drawingml/2006/main">
          <a:off x="272554" y="132582"/>
          <a:ext cx="416161" cy="3137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a:t>
          </a:r>
          <a:endParaRPr lang="en-US" sz="1000"/>
        </a:p>
      </cdr:txBody>
    </cdr:sp>
  </cdr:relSizeAnchor>
</c:userShapes>
</file>

<file path=word/drawings/drawing5.xml><?xml version="1.0" encoding="utf-8"?>
<c:userShapes xmlns:c="http://schemas.openxmlformats.org/drawingml/2006/chart">
  <cdr:relSizeAnchor xmlns:cdr="http://schemas.openxmlformats.org/drawingml/2006/chartDrawing">
    <cdr:from>
      <cdr:x>0.06836</cdr:x>
      <cdr:y>0.02519</cdr:y>
    </cdr:from>
    <cdr:to>
      <cdr:x>0.14432</cdr:x>
      <cdr:y>0.0816</cdr:y>
    </cdr:to>
    <cdr:sp macro="" textlink="">
      <cdr:nvSpPr>
        <cdr:cNvPr id="2" name="TextBox 1"/>
        <cdr:cNvSpPr txBox="1"/>
      </cdr:nvSpPr>
      <cdr:spPr>
        <a:xfrm xmlns:a="http://schemas.openxmlformats.org/drawingml/2006/main">
          <a:off x="554116" y="101975"/>
          <a:ext cx="615715" cy="22835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800"/>
            <a:t>persoane</a:t>
          </a:r>
          <a:endParaRPr lang="en-US" sz="800"/>
        </a:p>
      </cdr:txBody>
    </cdr:sp>
  </cdr:relSizeAnchor>
</c:userShapes>
</file>

<file path=word/drawings/drawing6.xml><?xml version="1.0" encoding="utf-8"?>
<c:userShapes xmlns:c="http://schemas.openxmlformats.org/drawingml/2006/chart">
  <cdr:relSizeAnchor xmlns:cdr="http://schemas.openxmlformats.org/drawingml/2006/chartDrawing">
    <cdr:from>
      <cdr:x>0.16192</cdr:x>
      <cdr:y>0.02617</cdr:y>
    </cdr:from>
    <cdr:to>
      <cdr:x>0.28447</cdr:x>
      <cdr:y>0.08581</cdr:y>
    </cdr:to>
    <cdr:sp macro="" textlink="">
      <cdr:nvSpPr>
        <cdr:cNvPr id="2" name="TextBox 1"/>
        <cdr:cNvSpPr txBox="1"/>
      </cdr:nvSpPr>
      <cdr:spPr>
        <a:xfrm xmlns:a="http://schemas.openxmlformats.org/drawingml/2006/main">
          <a:off x="860591" y="71300"/>
          <a:ext cx="651328" cy="1624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lei/salariat</a:t>
          </a:r>
        </a:p>
      </cdr:txBody>
    </cdr:sp>
  </cdr:relSizeAnchor>
</c:userShapes>
</file>

<file path=word/drawings/drawing7.xml><?xml version="1.0" encoding="utf-8"?>
<c:userShapes xmlns:c="http://schemas.openxmlformats.org/drawingml/2006/chart">
  <cdr:relSizeAnchor xmlns:cdr="http://schemas.openxmlformats.org/drawingml/2006/chartDrawing">
    <cdr:from>
      <cdr:x>0.04313</cdr:x>
      <cdr:y>0</cdr:y>
    </cdr:from>
    <cdr:to>
      <cdr:x>0.10599</cdr:x>
      <cdr:y>0.10028</cdr:y>
    </cdr:to>
    <cdr:sp macro="" textlink="">
      <cdr:nvSpPr>
        <cdr:cNvPr id="2" name="TextBox 1"/>
        <cdr:cNvSpPr txBox="1"/>
      </cdr:nvSpPr>
      <cdr:spPr>
        <a:xfrm xmlns:a="http://schemas.openxmlformats.org/drawingml/2006/main">
          <a:off x="275266" y="0"/>
          <a:ext cx="401121" cy="39830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t>%</a:t>
          </a:r>
        </a:p>
      </cdr:txBody>
    </cdr:sp>
  </cdr:relSizeAnchor>
</c:userShapes>
</file>

<file path=word/drawings/drawing8.xml><?xml version="1.0" encoding="utf-8"?>
<c:userShapes xmlns:c="http://schemas.openxmlformats.org/drawingml/2006/chart">
  <cdr:relSizeAnchor xmlns:cdr="http://schemas.openxmlformats.org/drawingml/2006/chartDrawing">
    <cdr:from>
      <cdr:x>0.1457</cdr:x>
      <cdr:y>0.00881</cdr:y>
    </cdr:from>
    <cdr:to>
      <cdr:x>0.23185</cdr:x>
      <cdr:y>0.04371</cdr:y>
    </cdr:to>
    <cdr:sp macro="" textlink="">
      <cdr:nvSpPr>
        <cdr:cNvPr id="2" name="TextBox 1"/>
        <cdr:cNvSpPr txBox="1"/>
      </cdr:nvSpPr>
      <cdr:spPr>
        <a:xfrm xmlns:a="http://schemas.openxmlformats.org/drawingml/2006/main">
          <a:off x="1089417" y="48000"/>
          <a:ext cx="644133" cy="190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num</a:t>
          </a:r>
          <a:r>
            <a:rPr lang="ro-RO" sz="1000"/>
            <a:t>ăr</a:t>
          </a:r>
          <a:endParaRPr lang="en-US"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1576</Words>
  <Characters>8985</Characters>
  <Application>Microsoft Office Word</Application>
  <DocSecurity>0</DocSecurity>
  <Lines>74</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Analiza principalilor indicatori economico-sociali</vt:lpstr>
      <vt:lpstr>Analiza principalilor indicatori economico-sociali</vt:lpstr>
    </vt:vector>
  </TitlesOfParts>
  <Company>INS</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principalilor indicatori economico-sociali</dc:title>
  <dc:creator>catalin.dunel</dc:creator>
  <cp:lastModifiedBy>Prefectura</cp:lastModifiedBy>
  <cp:revision>2</cp:revision>
  <cp:lastPrinted>2020-11-27T06:21:00Z</cp:lastPrinted>
  <dcterms:created xsi:type="dcterms:W3CDTF">2021-04-21T09:39:00Z</dcterms:created>
  <dcterms:modified xsi:type="dcterms:W3CDTF">2021-04-21T09:39:00Z</dcterms:modified>
</cp:coreProperties>
</file>