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10" w:rsidRDefault="00B00F22" w:rsidP="00513E63">
      <w:pPr>
        <w:ind w:right="-720" w:firstLine="720"/>
        <w:jc w:val="right"/>
      </w:pPr>
      <w:bookmarkStart w:id="0" w:name="_GoBack"/>
      <w:bookmarkEnd w:id="0"/>
      <w:r>
        <w:rPr>
          <w:noProof/>
          <w:lang w:val="en-US"/>
        </w:rPr>
        <mc:AlternateContent>
          <mc:Choice Requires="wps">
            <w:drawing>
              <wp:anchor distT="0" distB="0" distL="114935" distR="114935" simplePos="0" relativeHeight="251658240" behindDoc="0" locked="0" layoutInCell="1" allowOverlap="1">
                <wp:simplePos x="0" y="0"/>
                <wp:positionH relativeFrom="column">
                  <wp:posOffset>4333875</wp:posOffset>
                </wp:positionH>
                <wp:positionV relativeFrom="paragraph">
                  <wp:posOffset>-57150</wp:posOffset>
                </wp:positionV>
                <wp:extent cx="1825625" cy="65722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E10" w:rsidRDefault="00B00F22" w:rsidP="00513E63">
                            <w:pPr>
                              <w:rPr>
                                <w:rFonts w:ascii="Arial" w:hAnsi="Arial" w:cs="Arial"/>
                                <w:sz w:val="16"/>
                                <w:szCs w:val="16"/>
                              </w:rPr>
                            </w:pPr>
                            <w:r>
                              <w:rPr>
                                <w:rFonts w:ascii="Franklin Gothic Demi" w:hAnsi="Franklin Gothic Demi" w:cs="Franklin Gothic Demi"/>
                                <w:noProof/>
                                <w:color w:val="333333"/>
                                <w:sz w:val="28"/>
                                <w:szCs w:val="28"/>
                                <w:lang w:val="en-US"/>
                              </w:rPr>
                              <w:drawing>
                                <wp:inline distT="0" distB="0" distL="0" distR="0">
                                  <wp:extent cx="1733550" cy="5429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p>
                          <w:p w:rsidR="00E27E10" w:rsidRDefault="00E27E10" w:rsidP="00513E63">
                            <w:pPr>
                              <w:rPr>
                                <w:rFonts w:ascii="Arial" w:hAnsi="Arial" w:cs="Arial"/>
                                <w:sz w:val="16"/>
                                <w:szCs w:val="16"/>
                              </w:rPr>
                            </w:pPr>
                          </w:p>
                          <w:p w:rsidR="00E27E10" w:rsidRDefault="00E27E10" w:rsidP="00513E63">
                            <w:pPr>
                              <w:rPr>
                                <w:rFonts w:ascii="Arial" w:hAnsi="Arial" w:cs="Arial"/>
                                <w:sz w:val="16"/>
                                <w:szCs w:val="16"/>
                                <w:lang w:val="fr-FR"/>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5pt;margin-top:-4.5pt;width:143.75pt;height:51.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" stroked="f">
                <v:textbox inset=".25pt,.25pt,.25pt,.25pt">
                  <w:txbxContent>
                    <w:p w:rsidR="00E27E10" w:rsidRDefault="00B00F22" w:rsidP="00513E63">
                      <w:pPr>
                        <w:rPr>
                          <w:rFonts w:ascii="Arial" w:hAnsi="Arial" w:cs="Arial"/>
                          <w:sz w:val="16"/>
                          <w:szCs w:val="16"/>
                        </w:rPr>
                      </w:pPr>
                      <w:r>
                        <w:rPr>
                          <w:rFonts w:ascii="Franklin Gothic Demi" w:hAnsi="Franklin Gothic Demi" w:cs="Franklin Gothic Demi"/>
                          <w:noProof/>
                          <w:color w:val="333333"/>
                          <w:sz w:val="28"/>
                          <w:szCs w:val="28"/>
                          <w:lang w:val="en-US"/>
                        </w:rPr>
                        <w:drawing>
                          <wp:inline distT="0" distB="0" distL="0" distR="0">
                            <wp:extent cx="1733550" cy="5429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p>
                    <w:p w:rsidR="00E27E10" w:rsidRDefault="00E27E10" w:rsidP="00513E63">
                      <w:pPr>
                        <w:rPr>
                          <w:rFonts w:ascii="Arial" w:hAnsi="Arial" w:cs="Arial"/>
                          <w:sz w:val="16"/>
                          <w:szCs w:val="16"/>
                        </w:rPr>
                      </w:pPr>
                    </w:p>
                    <w:p w:rsidR="00E27E10" w:rsidRDefault="00E27E10" w:rsidP="00513E63">
                      <w:pPr>
                        <w:rPr>
                          <w:rFonts w:ascii="Arial" w:hAnsi="Arial" w:cs="Arial"/>
                          <w:sz w:val="16"/>
                          <w:szCs w:val="16"/>
                          <w:lang w:val="fr-FR"/>
                        </w:rPr>
                      </w:pPr>
                    </w:p>
                  </w:txbxContent>
                </v:textbox>
              </v:shape>
            </w:pict>
          </mc:Fallback>
        </mc:AlternateContent>
      </w:r>
      <w:r>
        <w:rPr>
          <w:noProof/>
          <w:lang w:val="en-US"/>
        </w:rPr>
        <w:drawing>
          <wp:anchor distT="0" distB="0" distL="0" distR="0" simplePos="0" relativeHeight="251659264" behindDoc="0" locked="0" layoutInCell="1" allowOverlap="1">
            <wp:simplePos x="0" y="0"/>
            <wp:positionH relativeFrom="column">
              <wp:posOffset>-680720</wp:posOffset>
            </wp:positionH>
            <wp:positionV relativeFrom="paragraph">
              <wp:posOffset>31115</wp:posOffset>
            </wp:positionV>
            <wp:extent cx="795020" cy="795020"/>
            <wp:effectExtent l="0" t="0" r="5080" b="5080"/>
            <wp:wrapSquare wrapText="larges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27E10">
        <w:tab/>
      </w:r>
      <w:r w:rsidR="00E27E10">
        <w:tab/>
        <w:t xml:space="preserve">                       </w:t>
      </w:r>
      <w:r w:rsidR="00E27E10">
        <w:rPr>
          <w:lang w:val="ro-RO"/>
        </w:rPr>
        <w:t xml:space="preserve">  </w:t>
      </w:r>
      <w:r w:rsidR="00E27E10">
        <w:rPr>
          <w:lang w:val="ro-RO"/>
        </w:rPr>
        <w:tab/>
      </w:r>
    </w:p>
    <w:p w:rsidR="00E27E10" w:rsidRDefault="00E27E10" w:rsidP="00513E63">
      <w:pPr>
        <w:rPr>
          <w:rFonts w:ascii="Franklin Gothic Medium" w:hAnsi="Franklin Gothic Medium" w:cs="Franklin Gothic Medium"/>
          <w:b/>
          <w:bCs/>
          <w:spacing w:val="20"/>
          <w:lang w:val="ro-RO"/>
        </w:rPr>
      </w:pPr>
    </w:p>
    <w:p w:rsidR="00E27E10" w:rsidRDefault="00B00F22" w:rsidP="00513E63">
      <w:pPr>
        <w:rPr>
          <w:rFonts w:ascii="Franklin Gothic Medium" w:hAnsi="Franklin Gothic Medium" w:cs="Franklin Gothic Medium"/>
          <w:b/>
          <w:bCs/>
          <w:spacing w:val="20"/>
          <w:lang w:val="ro-RO"/>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-542290</wp:posOffset>
                </wp:positionV>
                <wp:extent cx="3200400" cy="1143000"/>
                <wp:effectExtent l="0" t="63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E10" w:rsidRPr="00D87585" w:rsidRDefault="00E27E10" w:rsidP="00513E63">
                            <w:pPr>
                              <w:pStyle w:val="Heading1"/>
                              <w:rPr>
                                <w:rFonts w:ascii="Franklin Gothic Demi" w:hAnsi="Franklin Gothic Demi" w:cs="Franklin Gothic Demi"/>
                                <w:sz w:val="20"/>
                                <w:szCs w:val="20"/>
                              </w:rPr>
                            </w:pPr>
                            <w:r w:rsidRPr="00FB005A">
                              <w:rPr>
                                <w:rFonts w:ascii="Franklin Gothic Demi" w:hAnsi="Franklin Gothic Demi" w:cs="Franklin Gothic Demi"/>
                                <w:color w:val="333333"/>
                                <w:sz w:val="20"/>
                                <w:szCs w:val="20"/>
                                <w:lang w:val="pt-BR"/>
                              </w:rPr>
                              <w:t>MINISTERUL FINAN</w:t>
                            </w:r>
                            <w:r w:rsidRPr="00D87585">
                              <w:rPr>
                                <w:rFonts w:ascii="Franklin Gothic Demi" w:hAnsi="Franklin Gothic Demi" w:cs="Franklin Gothic Demi"/>
                                <w:color w:val="333333"/>
                                <w:sz w:val="20"/>
                                <w:szCs w:val="20"/>
                              </w:rPr>
                              <w:t>Ţ</w:t>
                            </w:r>
                            <w:r w:rsidRPr="00FB005A">
                              <w:rPr>
                                <w:rFonts w:ascii="Franklin Gothic Demi" w:hAnsi="Franklin Gothic Demi" w:cs="Franklin Gothic Demi"/>
                                <w:color w:val="333333"/>
                                <w:sz w:val="20"/>
                                <w:szCs w:val="20"/>
                                <w:lang w:val="pt-BR"/>
                              </w:rPr>
                              <w:t xml:space="preserve">ELOR </w:t>
                            </w:r>
                          </w:p>
                          <w:p w:rsidR="00E27E10" w:rsidRPr="00FB005A" w:rsidRDefault="00E27E10" w:rsidP="00513E63">
                            <w:pPr>
                              <w:rPr>
                                <w:rFonts w:ascii="Franklin Gothic Medium" w:hAnsi="Franklin Gothic Medium" w:cs="Franklin Gothic Medium"/>
                                <w:b/>
                                <w:bCs/>
                                <w:color w:val="333333"/>
                                <w:spacing w:val="20"/>
                                <w:sz w:val="20"/>
                                <w:szCs w:val="20"/>
                                <w:lang w:val="pt-BR"/>
                              </w:rPr>
                            </w:pPr>
                            <w:r w:rsidRPr="00FB005A">
                              <w:rPr>
                                <w:rFonts w:ascii="Franklin Gothic Medium" w:hAnsi="Franklin Gothic Medium" w:cs="Franklin Gothic Medium"/>
                                <w:b/>
                                <w:bCs/>
                                <w:color w:val="333333"/>
                                <w:spacing w:val="20"/>
                                <w:sz w:val="20"/>
                                <w:szCs w:val="20"/>
                                <w:lang w:val="pt-BR"/>
                              </w:rPr>
                              <w:t>Agenţia Naţională de Administrare Fiscală</w:t>
                            </w:r>
                          </w:p>
                          <w:p w:rsidR="00E27E10" w:rsidRPr="00D87585" w:rsidRDefault="00E27E10" w:rsidP="00513E63">
                            <w:pPr>
                              <w:rPr>
                                <w:spacing w:val="20"/>
                                <w:sz w:val="20"/>
                                <w:szCs w:val="20"/>
                                <w:lang w:val="ro-RO"/>
                              </w:rPr>
                            </w:pPr>
                            <w:r w:rsidRPr="00D87585">
                              <w:rPr>
                                <w:spacing w:val="20"/>
                                <w:sz w:val="20"/>
                                <w:szCs w:val="20"/>
                                <w:lang w:val="ro-RO"/>
                              </w:rPr>
                              <w:t>Direc</w:t>
                            </w:r>
                            <w:r w:rsidRPr="005762DE">
                              <w:rPr>
                                <w:sz w:val="20"/>
                                <w:szCs w:val="20"/>
                                <w:lang w:val="pt-BR"/>
                              </w:rPr>
                              <w:t>ţ</w:t>
                            </w:r>
                            <w:r w:rsidRPr="00D87585">
                              <w:rPr>
                                <w:spacing w:val="20"/>
                                <w:sz w:val="20"/>
                                <w:szCs w:val="20"/>
                                <w:lang w:val="ro-RO"/>
                              </w:rPr>
                              <w:t>ia Generală Regională a Finan</w:t>
                            </w:r>
                            <w:r w:rsidRPr="005762DE">
                              <w:rPr>
                                <w:sz w:val="20"/>
                                <w:szCs w:val="20"/>
                                <w:lang w:val="pt-BR"/>
                              </w:rPr>
                              <w:t>ţ</w:t>
                            </w:r>
                            <w:r w:rsidRPr="00D87585">
                              <w:rPr>
                                <w:spacing w:val="20"/>
                                <w:sz w:val="20"/>
                                <w:szCs w:val="20"/>
                                <w:lang w:val="ro-RO"/>
                              </w:rPr>
                              <w:t>elor Publice Gala</w:t>
                            </w:r>
                            <w:r w:rsidRPr="005762DE">
                              <w:rPr>
                                <w:sz w:val="20"/>
                                <w:szCs w:val="20"/>
                                <w:lang w:val="pt-BR"/>
                              </w:rPr>
                              <w:t>ţ</w:t>
                            </w:r>
                            <w:r w:rsidRPr="00D87585">
                              <w:rPr>
                                <w:spacing w:val="20"/>
                                <w:sz w:val="20"/>
                                <w:szCs w:val="20"/>
                                <w:lang w:val="ro-RO"/>
                              </w:rPr>
                              <w:t>i</w:t>
                            </w:r>
                          </w:p>
                          <w:p w:rsidR="00E27E10" w:rsidRPr="00D87585" w:rsidRDefault="00E27E10" w:rsidP="00513E63">
                            <w:pPr>
                              <w:rPr>
                                <w:spacing w:val="20"/>
                                <w:sz w:val="20"/>
                                <w:szCs w:val="20"/>
                                <w:lang w:val="ro-RO"/>
                              </w:rPr>
                            </w:pPr>
                            <w:r w:rsidRPr="00D87585">
                              <w:rPr>
                                <w:spacing w:val="20"/>
                                <w:sz w:val="20"/>
                                <w:szCs w:val="20"/>
                                <w:lang w:val="ro-RO"/>
                              </w:rPr>
                              <w:t>Administraţia Judeţeană a Finanţelor Publice Buzău</w:t>
                            </w:r>
                          </w:p>
                          <w:p w:rsidR="00E27E10" w:rsidRPr="004721F4" w:rsidRDefault="00E27E10" w:rsidP="00513E6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pt;margin-top:-42.7pt;width:25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" stroked="f">
                <v:textbox>
                  <w:txbxContent>
                    <w:p w:rsidR="00E27E10" w:rsidRPr="00D87585" w:rsidRDefault="00E27E10" w:rsidP="00513E63">
                      <w:pPr>
                        <w:pStyle w:val="Heading1"/>
                        <w:rPr>
                          <w:rFonts w:ascii="Franklin Gothic Demi" w:hAnsi="Franklin Gothic Demi" w:cs="Franklin Gothic Demi"/>
                          <w:sz w:val="20"/>
                          <w:szCs w:val="20"/>
                        </w:rPr>
                      </w:pPr>
                      <w:r w:rsidRPr="00FB005A">
                        <w:rPr>
                          <w:rFonts w:ascii="Franklin Gothic Demi" w:hAnsi="Franklin Gothic Demi" w:cs="Franklin Gothic Demi"/>
                          <w:color w:val="333333"/>
                          <w:sz w:val="20"/>
                          <w:szCs w:val="20"/>
                          <w:lang w:val="pt-BR"/>
                        </w:rPr>
                        <w:t>MINISTERUL FINAN</w:t>
                      </w:r>
                      <w:r w:rsidRPr="00D87585">
                        <w:rPr>
                          <w:rFonts w:ascii="Franklin Gothic Demi" w:hAnsi="Franklin Gothic Demi" w:cs="Franklin Gothic Demi"/>
                          <w:color w:val="333333"/>
                          <w:sz w:val="20"/>
                          <w:szCs w:val="20"/>
                        </w:rPr>
                        <w:t>Ţ</w:t>
                      </w:r>
                      <w:r w:rsidRPr="00FB005A">
                        <w:rPr>
                          <w:rFonts w:ascii="Franklin Gothic Demi" w:hAnsi="Franklin Gothic Demi" w:cs="Franklin Gothic Demi"/>
                          <w:color w:val="333333"/>
                          <w:sz w:val="20"/>
                          <w:szCs w:val="20"/>
                          <w:lang w:val="pt-BR"/>
                        </w:rPr>
                        <w:t xml:space="preserve">ELOR </w:t>
                      </w:r>
                    </w:p>
                    <w:p w:rsidR="00E27E10" w:rsidRPr="00FB005A" w:rsidRDefault="00E27E10" w:rsidP="00513E63">
                      <w:pPr>
                        <w:rPr>
                          <w:rFonts w:ascii="Franklin Gothic Medium" w:hAnsi="Franklin Gothic Medium" w:cs="Franklin Gothic Medium"/>
                          <w:b/>
                          <w:bCs/>
                          <w:color w:val="333333"/>
                          <w:spacing w:val="20"/>
                          <w:sz w:val="20"/>
                          <w:szCs w:val="20"/>
                          <w:lang w:val="pt-BR"/>
                        </w:rPr>
                      </w:pPr>
                      <w:r w:rsidRPr="00FB005A">
                        <w:rPr>
                          <w:rFonts w:ascii="Franklin Gothic Medium" w:hAnsi="Franklin Gothic Medium" w:cs="Franklin Gothic Medium"/>
                          <w:b/>
                          <w:bCs/>
                          <w:color w:val="333333"/>
                          <w:spacing w:val="20"/>
                          <w:sz w:val="20"/>
                          <w:szCs w:val="20"/>
                          <w:lang w:val="pt-BR"/>
                        </w:rPr>
                        <w:t>Agenţia Naţională de Administrare Fiscală</w:t>
                      </w:r>
                    </w:p>
                    <w:p w:rsidR="00E27E10" w:rsidRPr="00D87585" w:rsidRDefault="00E27E10" w:rsidP="00513E63">
                      <w:pPr>
                        <w:rPr>
                          <w:spacing w:val="20"/>
                          <w:sz w:val="20"/>
                          <w:szCs w:val="20"/>
                          <w:lang w:val="ro-RO"/>
                        </w:rPr>
                      </w:pPr>
                      <w:r w:rsidRPr="00D87585">
                        <w:rPr>
                          <w:spacing w:val="20"/>
                          <w:sz w:val="20"/>
                          <w:szCs w:val="20"/>
                          <w:lang w:val="ro-RO"/>
                        </w:rPr>
                        <w:t>Direc</w:t>
                      </w:r>
                      <w:r w:rsidRPr="005762DE">
                        <w:rPr>
                          <w:sz w:val="20"/>
                          <w:szCs w:val="20"/>
                          <w:lang w:val="pt-BR"/>
                        </w:rPr>
                        <w:t>ţ</w:t>
                      </w:r>
                      <w:r w:rsidRPr="00D87585">
                        <w:rPr>
                          <w:spacing w:val="20"/>
                          <w:sz w:val="20"/>
                          <w:szCs w:val="20"/>
                          <w:lang w:val="ro-RO"/>
                        </w:rPr>
                        <w:t>ia Generală Regională a Finan</w:t>
                      </w:r>
                      <w:r w:rsidRPr="005762DE">
                        <w:rPr>
                          <w:sz w:val="20"/>
                          <w:szCs w:val="20"/>
                          <w:lang w:val="pt-BR"/>
                        </w:rPr>
                        <w:t>ţ</w:t>
                      </w:r>
                      <w:r w:rsidRPr="00D87585">
                        <w:rPr>
                          <w:spacing w:val="20"/>
                          <w:sz w:val="20"/>
                          <w:szCs w:val="20"/>
                          <w:lang w:val="ro-RO"/>
                        </w:rPr>
                        <w:t>elor Publice Gala</w:t>
                      </w:r>
                      <w:r w:rsidRPr="005762DE">
                        <w:rPr>
                          <w:sz w:val="20"/>
                          <w:szCs w:val="20"/>
                          <w:lang w:val="pt-BR"/>
                        </w:rPr>
                        <w:t>ţ</w:t>
                      </w:r>
                      <w:r w:rsidRPr="00D87585">
                        <w:rPr>
                          <w:spacing w:val="20"/>
                          <w:sz w:val="20"/>
                          <w:szCs w:val="20"/>
                          <w:lang w:val="ro-RO"/>
                        </w:rPr>
                        <w:t>i</w:t>
                      </w:r>
                    </w:p>
                    <w:p w:rsidR="00E27E10" w:rsidRPr="00D87585" w:rsidRDefault="00E27E10" w:rsidP="00513E63">
                      <w:pPr>
                        <w:rPr>
                          <w:spacing w:val="20"/>
                          <w:sz w:val="20"/>
                          <w:szCs w:val="20"/>
                          <w:lang w:val="ro-RO"/>
                        </w:rPr>
                      </w:pPr>
                      <w:r w:rsidRPr="00D87585">
                        <w:rPr>
                          <w:spacing w:val="20"/>
                          <w:sz w:val="20"/>
                          <w:szCs w:val="20"/>
                          <w:lang w:val="ro-RO"/>
                        </w:rPr>
                        <w:t>Administraţia Judeţeană a Finanţelor Publice Buzău</w:t>
                      </w:r>
                    </w:p>
                    <w:p w:rsidR="00E27E10" w:rsidRPr="004721F4" w:rsidRDefault="00E27E10" w:rsidP="00513E63">
                      <w:pPr>
                        <w:rPr>
                          <w:lang w:val="pt-BR"/>
                        </w:rPr>
                      </w:pPr>
                    </w:p>
                  </w:txbxContent>
                </v:textbox>
              </v:shape>
            </w:pict>
          </mc:Fallback>
        </mc:AlternateContent>
      </w:r>
    </w:p>
    <w:p w:rsidR="00E27E10" w:rsidRDefault="00B00F22" w:rsidP="00513E63">
      <w:r>
        <w:rPr>
          <w:noProof/>
          <w:lang w:val="en-US"/>
        </w:rPr>
        <mc:AlternateContent>
          <mc:Choice Requires="wps">
            <w:drawing>
              <wp:anchor distT="0" distB="0" distL="114300" distR="114300" simplePos="0" relativeHeight="251661312" behindDoc="0" locked="0" layoutInCell="1" allowOverlap="1">
                <wp:simplePos x="0" y="0"/>
                <wp:positionH relativeFrom="column">
                  <wp:posOffset>4481830</wp:posOffset>
                </wp:positionH>
                <wp:positionV relativeFrom="paragraph">
                  <wp:posOffset>113665</wp:posOffset>
                </wp:positionV>
                <wp:extent cx="1714500" cy="571500"/>
                <wp:effectExtent l="0" t="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E10" w:rsidRPr="00E414EF" w:rsidRDefault="00E27E10" w:rsidP="00513E63">
                            <w:pPr>
                              <w:rPr>
                                <w:sz w:val="20"/>
                                <w:szCs w:val="20"/>
                                <w:lang w:val="it-IT"/>
                              </w:rPr>
                            </w:pPr>
                            <w:r w:rsidRPr="00E414EF">
                              <w:rPr>
                                <w:sz w:val="20"/>
                                <w:szCs w:val="20"/>
                                <w:lang w:val="it-IT"/>
                              </w:rPr>
                              <w:t xml:space="preserve">Str. </w:t>
                            </w:r>
                            <w:r>
                              <w:rPr>
                                <w:sz w:val="20"/>
                                <w:szCs w:val="20"/>
                                <w:lang w:val="it-IT"/>
                              </w:rPr>
                              <w:t>Constantin Garoflid, nr.7</w:t>
                            </w:r>
                          </w:p>
                          <w:p w:rsidR="00E27E10" w:rsidRPr="00E414EF" w:rsidRDefault="00E27E10" w:rsidP="00513E63">
                            <w:pPr>
                              <w:rPr>
                                <w:sz w:val="20"/>
                                <w:szCs w:val="20"/>
                                <w:lang w:val="it-IT"/>
                              </w:rPr>
                            </w:pPr>
                            <w:r w:rsidRPr="00E414EF">
                              <w:rPr>
                                <w:sz w:val="20"/>
                                <w:szCs w:val="20"/>
                                <w:lang w:val="it-IT"/>
                              </w:rPr>
                              <w:t>Tel :  0238 720570</w:t>
                            </w:r>
                          </w:p>
                          <w:p w:rsidR="00E27E10" w:rsidRPr="00E414EF" w:rsidRDefault="00E27E10" w:rsidP="00513E63">
                            <w:pPr>
                              <w:rPr>
                                <w:sz w:val="20"/>
                                <w:szCs w:val="20"/>
                                <w:lang w:val="it-IT"/>
                              </w:rPr>
                            </w:pPr>
                            <w:r w:rsidRPr="00E414EF">
                              <w:rPr>
                                <w:sz w:val="20"/>
                                <w:szCs w:val="20"/>
                                <w:lang w:val="it-IT"/>
                              </w:rPr>
                              <w:t>Fax : 0238 721 877</w:t>
                            </w:r>
                          </w:p>
                          <w:p w:rsidR="00E27E10" w:rsidRPr="000D2905" w:rsidRDefault="00E27E10" w:rsidP="00513E63">
                            <w:pPr>
                              <w:rPr>
                                <w:sz w:val="20"/>
                                <w:szCs w:val="20"/>
                                <w:lang w:val="it-IT"/>
                              </w:rPr>
                            </w:pPr>
                          </w:p>
                          <w:p w:rsidR="00E27E10" w:rsidRPr="000D2905" w:rsidRDefault="00E27E10" w:rsidP="00513E63">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2.9pt;margin-top:8.95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Tagw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" stroked="f">
                <v:textbox>
                  <w:txbxContent>
                    <w:p w:rsidR="00E27E10" w:rsidRPr="00E414EF" w:rsidRDefault="00E27E10" w:rsidP="00513E63">
                      <w:pPr>
                        <w:rPr>
                          <w:sz w:val="20"/>
                          <w:szCs w:val="20"/>
                          <w:lang w:val="it-IT"/>
                        </w:rPr>
                      </w:pPr>
                      <w:r w:rsidRPr="00E414EF">
                        <w:rPr>
                          <w:sz w:val="20"/>
                          <w:szCs w:val="20"/>
                          <w:lang w:val="it-IT"/>
                        </w:rPr>
                        <w:t xml:space="preserve">Str. </w:t>
                      </w:r>
                      <w:r>
                        <w:rPr>
                          <w:sz w:val="20"/>
                          <w:szCs w:val="20"/>
                          <w:lang w:val="it-IT"/>
                        </w:rPr>
                        <w:t>Constantin Garoflid, nr.7</w:t>
                      </w:r>
                    </w:p>
                    <w:p w:rsidR="00E27E10" w:rsidRPr="00E414EF" w:rsidRDefault="00E27E10" w:rsidP="00513E63">
                      <w:pPr>
                        <w:rPr>
                          <w:sz w:val="20"/>
                          <w:szCs w:val="20"/>
                          <w:lang w:val="it-IT"/>
                        </w:rPr>
                      </w:pPr>
                      <w:r w:rsidRPr="00E414EF">
                        <w:rPr>
                          <w:sz w:val="20"/>
                          <w:szCs w:val="20"/>
                          <w:lang w:val="it-IT"/>
                        </w:rPr>
                        <w:t>Tel :  0238 720570</w:t>
                      </w:r>
                    </w:p>
                    <w:p w:rsidR="00E27E10" w:rsidRPr="00E414EF" w:rsidRDefault="00E27E10" w:rsidP="00513E63">
                      <w:pPr>
                        <w:rPr>
                          <w:sz w:val="20"/>
                          <w:szCs w:val="20"/>
                          <w:lang w:val="it-IT"/>
                        </w:rPr>
                      </w:pPr>
                      <w:r w:rsidRPr="00E414EF">
                        <w:rPr>
                          <w:sz w:val="20"/>
                          <w:szCs w:val="20"/>
                          <w:lang w:val="it-IT"/>
                        </w:rPr>
                        <w:t>Fax : 0238 721 877</w:t>
                      </w:r>
                    </w:p>
                    <w:p w:rsidR="00E27E10" w:rsidRPr="000D2905" w:rsidRDefault="00E27E10" w:rsidP="00513E63">
                      <w:pPr>
                        <w:rPr>
                          <w:sz w:val="20"/>
                          <w:szCs w:val="20"/>
                          <w:lang w:val="it-IT"/>
                        </w:rPr>
                      </w:pPr>
                    </w:p>
                    <w:p w:rsidR="00E27E10" w:rsidRPr="000D2905" w:rsidRDefault="00E27E10" w:rsidP="00513E63">
                      <w:pPr>
                        <w:rPr>
                          <w:lang w:val="it-IT"/>
                        </w:rPr>
                      </w:pPr>
                    </w:p>
                  </w:txbxContent>
                </v:textbox>
              </v:shape>
            </w:pict>
          </mc:Fallback>
        </mc:AlternateContent>
      </w:r>
    </w:p>
    <w:p w:rsidR="00E27E10" w:rsidRDefault="00E27E10" w:rsidP="00513E63">
      <w:pPr>
        <w:jc w:val="right"/>
        <w:rPr>
          <w:rFonts w:ascii="Franklin Gothic Medium" w:hAnsi="Franklin Gothic Medium" w:cs="Franklin Gothic Medium"/>
          <w:spacing w:val="20"/>
          <w:lang w:val="ro-RO"/>
        </w:rPr>
      </w:pPr>
    </w:p>
    <w:p w:rsidR="00E27E10" w:rsidRDefault="00E27E10" w:rsidP="00513E63">
      <w:pPr>
        <w:jc w:val="center"/>
        <w:rPr>
          <w:rFonts w:ascii="Arial" w:hAnsi="Arial" w:cs="Arial"/>
          <w:b/>
          <w:bCs/>
          <w:spacing w:val="20"/>
          <w:lang w:val="ro-RO"/>
        </w:rPr>
      </w:pPr>
    </w:p>
    <w:p w:rsidR="00E27E10" w:rsidRDefault="00E27E10" w:rsidP="00513E63">
      <w:pPr>
        <w:jc w:val="center"/>
        <w:rPr>
          <w:rFonts w:ascii="Arial" w:hAnsi="Arial" w:cs="Arial"/>
          <w:b/>
          <w:bCs/>
          <w:spacing w:val="20"/>
          <w:lang w:val="ro-RO"/>
        </w:rPr>
      </w:pPr>
    </w:p>
    <w:p w:rsidR="00E27E10" w:rsidRDefault="00E27E10" w:rsidP="00513E63">
      <w:pPr>
        <w:jc w:val="center"/>
        <w:rPr>
          <w:rFonts w:ascii="Arial" w:hAnsi="Arial" w:cs="Arial"/>
          <w:b/>
          <w:bCs/>
          <w:spacing w:val="20"/>
          <w:lang w:val="ro-RO"/>
        </w:rPr>
      </w:pPr>
    </w:p>
    <w:p w:rsidR="00E27E10" w:rsidRDefault="00E27E10" w:rsidP="00513E63">
      <w:pPr>
        <w:jc w:val="center"/>
        <w:rPr>
          <w:rFonts w:ascii="Arial" w:hAnsi="Arial" w:cs="Arial"/>
          <w:b/>
          <w:bCs/>
          <w:spacing w:val="20"/>
          <w:lang w:val="ro-RO"/>
        </w:rPr>
      </w:pPr>
    </w:p>
    <w:p w:rsidR="00E27E10" w:rsidRDefault="00E27E10" w:rsidP="00513E63">
      <w:pPr>
        <w:jc w:val="center"/>
        <w:rPr>
          <w:rFonts w:ascii="Arial" w:hAnsi="Arial" w:cs="Arial"/>
          <w:b/>
          <w:bCs/>
          <w:spacing w:val="20"/>
          <w:lang w:val="ro-RO"/>
        </w:rPr>
      </w:pPr>
    </w:p>
    <w:p w:rsidR="00E27E10" w:rsidRDefault="00E27E10" w:rsidP="00513E63">
      <w:pPr>
        <w:jc w:val="center"/>
        <w:rPr>
          <w:rFonts w:ascii="Arial" w:hAnsi="Arial" w:cs="Arial"/>
          <w:b/>
          <w:bCs/>
          <w:spacing w:val="20"/>
          <w:lang w:val="ro-RO"/>
        </w:rPr>
      </w:pPr>
    </w:p>
    <w:p w:rsidR="00E27E10" w:rsidRPr="005B0519" w:rsidRDefault="00E27E10" w:rsidP="00232FD9">
      <w:pPr>
        <w:tabs>
          <w:tab w:val="left" w:pos="0"/>
        </w:tabs>
        <w:jc w:val="center"/>
        <w:rPr>
          <w:b/>
          <w:bCs/>
          <w:spacing w:val="20"/>
          <w:sz w:val="28"/>
          <w:szCs w:val="28"/>
          <w:lang w:val="ro-RO"/>
        </w:rPr>
      </w:pPr>
      <w:r>
        <w:rPr>
          <w:b/>
          <w:bCs/>
          <w:spacing w:val="20"/>
          <w:sz w:val="28"/>
          <w:szCs w:val="28"/>
          <w:lang w:val="ro-RO"/>
        </w:rPr>
        <w:t>INFORMARE</w:t>
      </w:r>
    </w:p>
    <w:p w:rsidR="00E27E10" w:rsidRPr="00114087" w:rsidRDefault="00E27E10" w:rsidP="00232FD9">
      <w:pPr>
        <w:jc w:val="center"/>
        <w:rPr>
          <w:b/>
          <w:bCs/>
          <w:sz w:val="32"/>
          <w:szCs w:val="32"/>
          <w:lang w:val="pl-PL"/>
        </w:rPr>
      </w:pPr>
      <w:r w:rsidRPr="00114087">
        <w:rPr>
          <w:b/>
          <w:bCs/>
          <w:sz w:val="32"/>
          <w:szCs w:val="32"/>
          <w:lang w:val="pl-PL"/>
        </w:rPr>
        <w:t>privind gradul de realizare a programului de venituri  bugetare</w:t>
      </w:r>
    </w:p>
    <w:p w:rsidR="00E27E10" w:rsidRDefault="00E27E10" w:rsidP="00232FD9">
      <w:pPr>
        <w:jc w:val="center"/>
        <w:rPr>
          <w:b/>
          <w:bCs/>
          <w:sz w:val="32"/>
          <w:szCs w:val="32"/>
          <w:lang w:val="pl-PL"/>
        </w:rPr>
      </w:pPr>
      <w:r w:rsidRPr="00114087">
        <w:rPr>
          <w:b/>
          <w:bCs/>
          <w:sz w:val="32"/>
          <w:szCs w:val="32"/>
          <w:lang w:val="pl-PL"/>
        </w:rPr>
        <w:t>p</w:t>
      </w:r>
      <w:r>
        <w:rPr>
          <w:b/>
          <w:bCs/>
          <w:sz w:val="32"/>
          <w:szCs w:val="32"/>
          <w:lang w:val="pl-PL"/>
        </w:rPr>
        <w:t>e primul semestru al anului 2021</w:t>
      </w:r>
    </w:p>
    <w:p w:rsidR="00E27E10" w:rsidRPr="0095364D" w:rsidRDefault="00E27E10" w:rsidP="00232FD9">
      <w:pPr>
        <w:jc w:val="center"/>
        <w:rPr>
          <w:b/>
          <w:bCs/>
          <w:sz w:val="32"/>
          <w:szCs w:val="32"/>
          <w:lang w:val="pl-PL"/>
        </w:rPr>
      </w:pPr>
      <w:r>
        <w:rPr>
          <w:b/>
          <w:bCs/>
          <w:sz w:val="32"/>
          <w:szCs w:val="32"/>
          <w:lang w:val="pl-PL"/>
        </w:rPr>
        <w:t>la nivelul judeţului Buzău</w:t>
      </w:r>
    </w:p>
    <w:p w:rsidR="00E27E10" w:rsidRDefault="00E27E10" w:rsidP="00232FD9">
      <w:pPr>
        <w:jc w:val="center"/>
        <w:rPr>
          <w:rFonts w:ascii="Arial" w:hAnsi="Arial" w:cs="Arial"/>
          <w:b/>
          <w:bCs/>
          <w:spacing w:val="20"/>
          <w:lang w:val="ro-RO"/>
        </w:rPr>
      </w:pPr>
    </w:p>
    <w:p w:rsidR="00E27E10" w:rsidRDefault="00E27E10" w:rsidP="00232FD9">
      <w:pPr>
        <w:ind w:firstLine="720"/>
        <w:jc w:val="both"/>
        <w:rPr>
          <w:rStyle w:val="Emphasis"/>
          <w:rFonts w:ascii="Times New (W1)" w:hAnsi="Times New (W1)" w:cs="Times New (W1)"/>
          <w:i w:val="0"/>
          <w:iCs w:val="0"/>
          <w:lang w:val="pl-PL"/>
        </w:rPr>
      </w:pPr>
    </w:p>
    <w:p w:rsidR="00E27E10" w:rsidRDefault="00E27E10" w:rsidP="00232FD9">
      <w:pPr>
        <w:ind w:firstLine="720"/>
        <w:jc w:val="both"/>
        <w:rPr>
          <w:rStyle w:val="Emphasis"/>
          <w:rFonts w:ascii="Times New (W1)" w:hAnsi="Times New (W1)" w:cs="Times New (W1)"/>
          <w:i w:val="0"/>
          <w:iCs w:val="0"/>
          <w:lang w:val="pl-PL"/>
        </w:rPr>
      </w:pPr>
    </w:p>
    <w:p w:rsidR="00E27E10" w:rsidRDefault="00E27E10" w:rsidP="00232FD9">
      <w:pPr>
        <w:ind w:firstLine="720"/>
        <w:jc w:val="both"/>
        <w:rPr>
          <w:rStyle w:val="Emphasis"/>
          <w:rFonts w:ascii="Times New (W1)" w:hAnsi="Times New (W1)" w:cs="Times New (W1)"/>
          <w:i w:val="0"/>
          <w:iCs w:val="0"/>
          <w:lang w:val="pl-PL"/>
        </w:rPr>
      </w:pPr>
    </w:p>
    <w:p w:rsidR="00E27E10" w:rsidRPr="0095364D" w:rsidRDefault="00E27E10" w:rsidP="00232FD9">
      <w:pPr>
        <w:ind w:firstLine="720"/>
        <w:jc w:val="both"/>
        <w:rPr>
          <w:rStyle w:val="Emphasis"/>
          <w:rFonts w:ascii="Times New (W1)" w:hAnsi="Times New (W1)" w:cs="Times New (W1)"/>
          <w:i w:val="0"/>
          <w:iCs w:val="0"/>
          <w:lang w:val="pl-PL"/>
        </w:rPr>
      </w:pPr>
    </w:p>
    <w:p w:rsidR="00E27E10" w:rsidRDefault="00E27E10" w:rsidP="00776512">
      <w:pPr>
        <w:ind w:firstLine="720"/>
        <w:jc w:val="both"/>
        <w:rPr>
          <w:rStyle w:val="Emphasis"/>
          <w:rFonts w:ascii="Times New (W1)" w:hAnsi="Times New (W1)" w:cs="Times New (W1)"/>
          <w:i w:val="0"/>
          <w:iCs w:val="0"/>
          <w:sz w:val="26"/>
          <w:szCs w:val="26"/>
          <w:lang w:val="pl-PL"/>
        </w:rPr>
      </w:pPr>
      <w:r w:rsidRPr="00D17A3E">
        <w:rPr>
          <w:rStyle w:val="Emphasis"/>
          <w:rFonts w:ascii="Times New (W1)" w:hAnsi="Times New (W1)" w:cs="Times New (W1)"/>
          <w:i w:val="0"/>
          <w:iCs w:val="0"/>
          <w:sz w:val="26"/>
          <w:szCs w:val="26"/>
          <w:lang w:val="pl-PL"/>
        </w:rPr>
        <w:t>În  anul 2021</w:t>
      </w:r>
      <w:r>
        <w:rPr>
          <w:rStyle w:val="Emphasis"/>
          <w:rFonts w:ascii="Times New (W1)" w:hAnsi="Times New (W1)" w:cs="Times New (W1)"/>
          <w:i w:val="0"/>
          <w:iCs w:val="0"/>
          <w:sz w:val="26"/>
          <w:szCs w:val="26"/>
          <w:lang w:val="pl-PL"/>
        </w:rPr>
        <w:t>,</w:t>
      </w:r>
      <w:r w:rsidRPr="00D17A3E">
        <w:rPr>
          <w:rStyle w:val="Emphasis"/>
          <w:rFonts w:ascii="Times New (W1)" w:hAnsi="Times New (W1)" w:cs="Times New (W1)"/>
          <w:i w:val="0"/>
          <w:iCs w:val="0"/>
          <w:sz w:val="26"/>
          <w:szCs w:val="26"/>
          <w:lang w:val="pl-PL"/>
        </w:rPr>
        <w:t xml:space="preserve"> Administraţia Judeţeană a Finanţelor Publice Buzău , în vederea realizării programului de încasări venituri bugetare , are  următoarele obiective care derivă din Strategia ANAF 2021-2024 :</w:t>
      </w:r>
    </w:p>
    <w:p w:rsidR="00E27E10" w:rsidRPr="00D17A3E" w:rsidRDefault="00E27E10" w:rsidP="00776512">
      <w:pPr>
        <w:ind w:firstLine="720"/>
        <w:jc w:val="both"/>
        <w:rPr>
          <w:rStyle w:val="Emphasis"/>
          <w:rFonts w:ascii="Times New (W1)" w:hAnsi="Times New (W1)" w:cs="Times New (W1)"/>
          <w:i w:val="0"/>
          <w:iCs w:val="0"/>
          <w:sz w:val="26"/>
          <w:szCs w:val="26"/>
          <w:lang w:val="pl-PL"/>
        </w:rPr>
      </w:pPr>
    </w:p>
    <w:p w:rsidR="00E27E10" w:rsidRPr="00D17A3E" w:rsidRDefault="00E27E10" w:rsidP="00A20690">
      <w:pPr>
        <w:numPr>
          <w:ilvl w:val="0"/>
          <w:numId w:val="3"/>
        </w:numPr>
        <w:jc w:val="both"/>
        <w:rPr>
          <w:rStyle w:val="Emphasis"/>
          <w:rFonts w:ascii="Times New (W1)" w:hAnsi="Times New (W1)" w:cs="Times New (W1)"/>
          <w:i w:val="0"/>
          <w:iCs w:val="0"/>
          <w:sz w:val="26"/>
          <w:szCs w:val="26"/>
        </w:rPr>
      </w:pPr>
      <w:r w:rsidRPr="00D17A3E">
        <w:rPr>
          <w:rStyle w:val="Emphasis"/>
          <w:rFonts w:ascii="Times New (W1)" w:hAnsi="Times New (W1)" w:cs="Times New (W1)"/>
          <w:i w:val="0"/>
          <w:iCs w:val="0"/>
          <w:sz w:val="26"/>
          <w:szCs w:val="26"/>
        </w:rPr>
        <w:t>creşterea eficienţei colectării;</w:t>
      </w:r>
    </w:p>
    <w:p w:rsidR="00E27E10" w:rsidRPr="00D17A3E" w:rsidRDefault="00E27E10" w:rsidP="00A20690">
      <w:pPr>
        <w:numPr>
          <w:ilvl w:val="0"/>
          <w:numId w:val="3"/>
        </w:numPr>
        <w:jc w:val="both"/>
        <w:rPr>
          <w:rStyle w:val="Emphasis"/>
          <w:rFonts w:ascii="Times New (W1)" w:hAnsi="Times New (W1)" w:cs="Times New (W1)"/>
          <w:i w:val="0"/>
          <w:iCs w:val="0"/>
          <w:sz w:val="26"/>
          <w:szCs w:val="26"/>
        </w:rPr>
      </w:pPr>
      <w:r w:rsidRPr="00D17A3E">
        <w:rPr>
          <w:rStyle w:val="Emphasis"/>
          <w:rFonts w:ascii="Times New (W1)" w:hAnsi="Times New (W1)" w:cs="Times New (W1)"/>
          <w:i w:val="0"/>
          <w:iCs w:val="0"/>
          <w:sz w:val="26"/>
          <w:szCs w:val="26"/>
        </w:rPr>
        <w:t>îmbunătăţirea relaţiei cu contribuabilii;</w:t>
      </w:r>
    </w:p>
    <w:p w:rsidR="00E27E10" w:rsidRPr="00D17A3E" w:rsidRDefault="00E27E10" w:rsidP="0095364D">
      <w:pPr>
        <w:numPr>
          <w:ilvl w:val="0"/>
          <w:numId w:val="3"/>
        </w:numPr>
        <w:jc w:val="both"/>
        <w:rPr>
          <w:rStyle w:val="Emphasis"/>
          <w:rFonts w:ascii="Times New (W1)" w:hAnsi="Times New (W1)" w:cs="Times New (W1)"/>
          <w:i w:val="0"/>
          <w:iCs w:val="0"/>
          <w:sz w:val="26"/>
          <w:szCs w:val="26"/>
          <w:lang w:val="it-IT"/>
        </w:rPr>
      </w:pPr>
      <w:r w:rsidRPr="00D17A3E">
        <w:rPr>
          <w:rStyle w:val="Emphasis"/>
          <w:rFonts w:ascii="Times New (W1)" w:hAnsi="Times New (W1)" w:cs="Times New (W1)"/>
          <w:i w:val="0"/>
          <w:iCs w:val="0"/>
          <w:sz w:val="26"/>
          <w:szCs w:val="26"/>
          <w:lang w:val="it-IT"/>
        </w:rPr>
        <w:t>măsuri de prevenire și combatere a evaziunii fiscale</w:t>
      </w:r>
      <w:r w:rsidRPr="00D17A3E">
        <w:rPr>
          <w:rStyle w:val="Emphasis"/>
          <w:rFonts w:ascii="Times New (W1)" w:hAnsi="Times New (W1)" w:cs="Times New (W1)"/>
          <w:sz w:val="26"/>
          <w:szCs w:val="26"/>
          <w:lang w:val="it-IT"/>
        </w:rPr>
        <w:t>;</w:t>
      </w:r>
    </w:p>
    <w:p w:rsidR="00E27E10" w:rsidRPr="00D17A3E" w:rsidRDefault="00E27E10" w:rsidP="00232FD9">
      <w:pPr>
        <w:numPr>
          <w:ilvl w:val="0"/>
          <w:numId w:val="3"/>
        </w:numPr>
        <w:jc w:val="both"/>
        <w:rPr>
          <w:rStyle w:val="Emphasis"/>
          <w:rFonts w:ascii="Times New (W1)" w:hAnsi="Times New (W1)" w:cs="Times New (W1)"/>
          <w:i w:val="0"/>
          <w:iCs w:val="0"/>
          <w:sz w:val="26"/>
          <w:szCs w:val="26"/>
        </w:rPr>
      </w:pPr>
      <w:r w:rsidRPr="00D17A3E">
        <w:rPr>
          <w:rStyle w:val="Emphasis"/>
          <w:rFonts w:ascii="Times New (W1)" w:hAnsi="Times New (W1)" w:cs="Times New (W1)"/>
          <w:i w:val="0"/>
          <w:iCs w:val="0"/>
          <w:sz w:val="26"/>
          <w:szCs w:val="26"/>
        </w:rPr>
        <w:t>simplificarea procedurilor de administrare fiscală pentru susţinerea conformării voluntare la declararea obligaţiilor fiscale;</w:t>
      </w:r>
    </w:p>
    <w:p w:rsidR="00E27E10" w:rsidRPr="00D17A3E" w:rsidRDefault="00E27E10" w:rsidP="0095364D">
      <w:pPr>
        <w:numPr>
          <w:ilvl w:val="0"/>
          <w:numId w:val="3"/>
        </w:numPr>
        <w:jc w:val="both"/>
        <w:rPr>
          <w:rStyle w:val="Emphasis"/>
          <w:rFonts w:ascii="Times New (W1)" w:hAnsi="Times New (W1)" w:cs="Times New (W1)"/>
          <w:i w:val="0"/>
          <w:iCs w:val="0"/>
          <w:sz w:val="26"/>
          <w:szCs w:val="26"/>
          <w:lang w:val="it-IT"/>
        </w:rPr>
      </w:pPr>
      <w:r w:rsidRPr="00D17A3E">
        <w:rPr>
          <w:rStyle w:val="Emphasis"/>
          <w:rFonts w:ascii="Times New (W1)" w:hAnsi="Times New (W1)" w:cs="Times New (W1)"/>
          <w:i w:val="0"/>
          <w:iCs w:val="0"/>
          <w:sz w:val="26"/>
          <w:szCs w:val="26"/>
          <w:lang w:val="it-IT"/>
        </w:rPr>
        <w:t>sprijinirea conformării la plata obligațiilor fiscale;</w:t>
      </w:r>
    </w:p>
    <w:p w:rsidR="00E27E10" w:rsidRPr="00D17A3E" w:rsidRDefault="00E27E10" w:rsidP="00232FD9">
      <w:pPr>
        <w:numPr>
          <w:ilvl w:val="0"/>
          <w:numId w:val="3"/>
        </w:numPr>
        <w:jc w:val="both"/>
        <w:rPr>
          <w:rStyle w:val="Emphasis"/>
          <w:rFonts w:ascii="Times New (W1)" w:hAnsi="Times New (W1)" w:cs="Times New (W1)"/>
          <w:i w:val="0"/>
          <w:iCs w:val="0"/>
          <w:sz w:val="26"/>
          <w:szCs w:val="26"/>
          <w:lang w:val="pt-BR"/>
        </w:rPr>
      </w:pPr>
      <w:r w:rsidRPr="00D17A3E">
        <w:rPr>
          <w:rStyle w:val="Emphasis"/>
          <w:rFonts w:ascii="Times New (W1)" w:hAnsi="Times New (W1)" w:cs="Times New (W1)"/>
          <w:i w:val="0"/>
          <w:iCs w:val="0"/>
          <w:sz w:val="26"/>
          <w:szCs w:val="26"/>
          <w:lang w:val="pt-BR"/>
        </w:rPr>
        <w:t>poziționarea AJFP Buzău ca o entitate eficientă și transparentă.</w:t>
      </w:r>
    </w:p>
    <w:p w:rsidR="00E27E10" w:rsidRPr="00D17A3E" w:rsidRDefault="00E27E10" w:rsidP="0098155C">
      <w:pPr>
        <w:ind w:left="1080"/>
        <w:jc w:val="both"/>
        <w:rPr>
          <w:rStyle w:val="Emphasis"/>
          <w:rFonts w:ascii="Times New (W1)" w:hAnsi="Times New (W1)" w:cs="Times New (W1)"/>
          <w:i w:val="0"/>
          <w:iCs w:val="0"/>
          <w:sz w:val="26"/>
          <w:szCs w:val="26"/>
          <w:lang w:val="pt-BR"/>
        </w:rPr>
      </w:pPr>
    </w:p>
    <w:p w:rsidR="00E27E10" w:rsidRPr="00D17A3E" w:rsidRDefault="00E27E10" w:rsidP="0095364D">
      <w:pPr>
        <w:pStyle w:val="BodyText"/>
        <w:ind w:firstLine="720"/>
        <w:rPr>
          <w:sz w:val="26"/>
          <w:szCs w:val="26"/>
          <w:lang w:val="pl-PL"/>
        </w:rPr>
      </w:pPr>
      <w:r w:rsidRPr="00D17A3E">
        <w:rPr>
          <w:sz w:val="26"/>
          <w:szCs w:val="26"/>
          <w:lang w:val="pl-PL"/>
        </w:rPr>
        <w:t>Rezultatele    activităţii    desfăşurate   de   Administraţia Judeţeană a Finanţelor Publice  Buzău</w:t>
      </w:r>
      <w:r>
        <w:rPr>
          <w:sz w:val="26"/>
          <w:szCs w:val="26"/>
          <w:lang w:val="pl-PL"/>
        </w:rPr>
        <w:t>,</w:t>
      </w:r>
      <w:r w:rsidRPr="00D17A3E">
        <w:rPr>
          <w:sz w:val="26"/>
          <w:szCs w:val="26"/>
          <w:lang w:val="pl-PL"/>
        </w:rPr>
        <w:t xml:space="preserve"> pe semestrul I 2021</w:t>
      </w:r>
      <w:r>
        <w:rPr>
          <w:sz w:val="26"/>
          <w:szCs w:val="26"/>
          <w:lang w:val="pl-PL"/>
        </w:rPr>
        <w:t>,</w:t>
      </w:r>
      <w:r w:rsidRPr="00D17A3E">
        <w:rPr>
          <w:sz w:val="26"/>
          <w:szCs w:val="26"/>
          <w:lang w:val="pl-PL"/>
        </w:rPr>
        <w:t xml:space="preserve"> sunt reflectate de indicaţorii de performanţă realizaţi, în raport cu cei  stabiliţi de ANAF.</w:t>
      </w:r>
    </w:p>
    <w:p w:rsidR="00E27E10" w:rsidRPr="00D17A3E" w:rsidRDefault="00E27E10" w:rsidP="0095364D">
      <w:pPr>
        <w:pStyle w:val="BodyText"/>
        <w:ind w:firstLine="720"/>
        <w:rPr>
          <w:sz w:val="26"/>
          <w:szCs w:val="26"/>
          <w:lang w:val="pl-PL"/>
        </w:rPr>
      </w:pPr>
    </w:p>
    <w:p w:rsidR="00E27E10" w:rsidRPr="00D17A3E" w:rsidRDefault="00E27E10" w:rsidP="0095364D">
      <w:pPr>
        <w:pStyle w:val="BodyText"/>
        <w:ind w:firstLine="720"/>
        <w:rPr>
          <w:sz w:val="26"/>
          <w:szCs w:val="26"/>
          <w:u w:val="single"/>
          <w:lang w:val="pl-PL"/>
        </w:rPr>
      </w:pPr>
      <w:r w:rsidRPr="00D17A3E">
        <w:rPr>
          <w:sz w:val="26"/>
          <w:szCs w:val="26"/>
          <w:lang w:val="pl-PL"/>
        </w:rPr>
        <w:t>Prezentam principali  indicatori de performanţa:</w:t>
      </w:r>
    </w:p>
    <w:p w:rsidR="00E27E10" w:rsidRPr="00D17A3E" w:rsidRDefault="00E27E10" w:rsidP="0095364D">
      <w:pPr>
        <w:pStyle w:val="BodyText"/>
        <w:ind w:firstLine="720"/>
        <w:rPr>
          <w:sz w:val="26"/>
          <w:szCs w:val="26"/>
          <w:u w:val="single"/>
          <w:lang w:val="pl-PL"/>
        </w:rPr>
      </w:pPr>
    </w:p>
    <w:p w:rsidR="00E27E10" w:rsidRPr="00D17A3E" w:rsidRDefault="00E27E10" w:rsidP="0095364D">
      <w:pPr>
        <w:pStyle w:val="BodyText"/>
        <w:numPr>
          <w:ilvl w:val="0"/>
          <w:numId w:val="6"/>
        </w:numPr>
        <w:tabs>
          <w:tab w:val="clear" w:pos="928"/>
          <w:tab w:val="left" w:pos="360"/>
          <w:tab w:val="num" w:pos="900"/>
        </w:tabs>
        <w:spacing w:after="120"/>
        <w:ind w:left="900"/>
        <w:rPr>
          <w:sz w:val="26"/>
          <w:szCs w:val="26"/>
          <w:lang w:val="pl-PL"/>
        </w:rPr>
      </w:pPr>
      <w:r w:rsidRPr="00D17A3E">
        <w:rPr>
          <w:i/>
          <w:iCs/>
          <w:sz w:val="26"/>
          <w:szCs w:val="26"/>
          <w:lang w:val="pt-BR"/>
        </w:rPr>
        <w:t xml:space="preserve">Gradul de realizare a programului de încasari venituri bugetare (valori nete) </w:t>
      </w:r>
      <w:r w:rsidRPr="00D17A3E">
        <w:rPr>
          <w:sz w:val="26"/>
          <w:szCs w:val="26"/>
          <w:lang w:val="pl-PL"/>
        </w:rPr>
        <w:t>a fost realizat în procent de 106,75%;</w:t>
      </w:r>
    </w:p>
    <w:p w:rsidR="00E27E10" w:rsidRPr="00D17A3E" w:rsidRDefault="00E27E10" w:rsidP="0095364D">
      <w:pPr>
        <w:pStyle w:val="BodyText"/>
        <w:numPr>
          <w:ilvl w:val="0"/>
          <w:numId w:val="6"/>
        </w:numPr>
        <w:tabs>
          <w:tab w:val="clear" w:pos="928"/>
          <w:tab w:val="left" w:pos="360"/>
          <w:tab w:val="num" w:pos="900"/>
        </w:tabs>
        <w:spacing w:after="120"/>
        <w:ind w:left="900"/>
        <w:rPr>
          <w:sz w:val="26"/>
          <w:szCs w:val="26"/>
          <w:lang w:val="pt-BR"/>
        </w:rPr>
      </w:pPr>
      <w:r w:rsidRPr="00D17A3E">
        <w:rPr>
          <w:i/>
          <w:iCs/>
          <w:sz w:val="26"/>
          <w:szCs w:val="26"/>
          <w:lang w:val="pt-BR"/>
        </w:rPr>
        <w:t>Gradul de depunere voluntară a declaraţiilor fiscale</w:t>
      </w:r>
      <w:r w:rsidRPr="00D17A3E">
        <w:rPr>
          <w:sz w:val="26"/>
          <w:szCs w:val="26"/>
          <w:lang w:val="pt-BR"/>
        </w:rPr>
        <w:t xml:space="preserve">, </w:t>
      </w:r>
      <w:r w:rsidRPr="00D17A3E">
        <w:rPr>
          <w:i/>
          <w:iCs/>
          <w:sz w:val="26"/>
          <w:szCs w:val="26"/>
          <w:lang w:val="pt-BR"/>
        </w:rPr>
        <w:t>pe tipuri de  impozite</w:t>
      </w:r>
      <w:r w:rsidRPr="00D17A3E">
        <w:rPr>
          <w:sz w:val="26"/>
          <w:szCs w:val="26"/>
          <w:lang w:val="pt-BR"/>
        </w:rPr>
        <w:t xml:space="preserve"> </w:t>
      </w:r>
      <w:r w:rsidRPr="00D17A3E">
        <w:rPr>
          <w:sz w:val="26"/>
          <w:szCs w:val="26"/>
          <w:lang w:val="pl-PL"/>
        </w:rPr>
        <w:t xml:space="preserve">a </w:t>
      </w:r>
      <w:r w:rsidRPr="00D17A3E">
        <w:rPr>
          <w:sz w:val="26"/>
          <w:szCs w:val="26"/>
          <w:lang w:val="pt-BR"/>
        </w:rPr>
        <w:t>fost realizat în procent de 90,23%;</w:t>
      </w:r>
    </w:p>
    <w:p w:rsidR="00E27E10" w:rsidRPr="00D17A3E" w:rsidRDefault="00E27E10" w:rsidP="0095364D">
      <w:pPr>
        <w:pStyle w:val="BodyText"/>
        <w:numPr>
          <w:ilvl w:val="0"/>
          <w:numId w:val="6"/>
        </w:numPr>
        <w:tabs>
          <w:tab w:val="clear" w:pos="928"/>
          <w:tab w:val="left" w:pos="360"/>
          <w:tab w:val="num" w:pos="900"/>
        </w:tabs>
        <w:spacing w:after="120"/>
        <w:ind w:left="900"/>
        <w:rPr>
          <w:i/>
          <w:iCs/>
          <w:sz w:val="26"/>
          <w:szCs w:val="26"/>
          <w:lang w:val="pt-BR"/>
        </w:rPr>
      </w:pPr>
      <w:r w:rsidRPr="00D17A3E">
        <w:rPr>
          <w:i/>
          <w:iCs/>
          <w:sz w:val="26"/>
          <w:szCs w:val="26"/>
          <w:lang w:val="pt-BR"/>
        </w:rPr>
        <w:t>Gradul de conformare voluntară la plata obligaţiilor fiscale (valoric), inclusiv plăţi parţiale</w:t>
      </w:r>
      <w:r w:rsidRPr="00D17A3E">
        <w:rPr>
          <w:sz w:val="26"/>
          <w:szCs w:val="26"/>
          <w:lang w:val="pt-BR"/>
        </w:rPr>
        <w:t xml:space="preserve"> a fost realizat în procent de 82,27% ;</w:t>
      </w:r>
    </w:p>
    <w:p w:rsidR="00E27E10" w:rsidRPr="00D17A3E" w:rsidRDefault="00E27E10" w:rsidP="0095364D">
      <w:pPr>
        <w:pStyle w:val="BodyText"/>
        <w:numPr>
          <w:ilvl w:val="0"/>
          <w:numId w:val="6"/>
        </w:numPr>
        <w:tabs>
          <w:tab w:val="clear" w:pos="928"/>
          <w:tab w:val="num" w:pos="900"/>
        </w:tabs>
        <w:spacing w:after="120"/>
        <w:ind w:left="900"/>
        <w:rPr>
          <w:i/>
          <w:iCs/>
          <w:sz w:val="26"/>
          <w:szCs w:val="26"/>
          <w:lang w:val="pt-BR"/>
        </w:rPr>
      </w:pPr>
      <w:r w:rsidRPr="00D17A3E">
        <w:rPr>
          <w:i/>
          <w:iCs/>
          <w:sz w:val="26"/>
          <w:szCs w:val="26"/>
          <w:lang w:val="pt-BR"/>
        </w:rPr>
        <w:t>Numărul   de  inspecţii  efectuate  de  un  inspector  la contribuabili  persoane  juridice în semestrul I 2020</w:t>
      </w:r>
      <w:r w:rsidRPr="00D17A3E">
        <w:rPr>
          <w:sz w:val="26"/>
          <w:szCs w:val="26"/>
          <w:lang w:val="pt-BR"/>
        </w:rPr>
        <w:t xml:space="preserve"> a fost de  3,43  , iar la </w:t>
      </w:r>
      <w:r w:rsidRPr="00D17A3E">
        <w:rPr>
          <w:i/>
          <w:iCs/>
          <w:sz w:val="26"/>
          <w:szCs w:val="26"/>
          <w:lang w:val="pt-BR"/>
        </w:rPr>
        <w:t>persoane fizice la  6,88</w:t>
      </w:r>
      <w:r w:rsidRPr="00D17A3E">
        <w:rPr>
          <w:sz w:val="26"/>
          <w:szCs w:val="26"/>
          <w:lang w:val="pt-BR"/>
        </w:rPr>
        <w:t xml:space="preserve"> ;</w:t>
      </w:r>
    </w:p>
    <w:p w:rsidR="00E27E10" w:rsidRPr="00D17A3E" w:rsidRDefault="00E27E10" w:rsidP="0095364D">
      <w:pPr>
        <w:pStyle w:val="BodyText"/>
        <w:numPr>
          <w:ilvl w:val="0"/>
          <w:numId w:val="6"/>
        </w:numPr>
        <w:tabs>
          <w:tab w:val="clear" w:pos="928"/>
          <w:tab w:val="num" w:pos="900"/>
        </w:tabs>
        <w:spacing w:after="120"/>
        <w:ind w:left="900"/>
        <w:rPr>
          <w:b/>
          <w:bCs/>
          <w:i/>
          <w:iCs/>
          <w:sz w:val="26"/>
          <w:szCs w:val="26"/>
          <w:lang w:val="pt-BR"/>
        </w:rPr>
      </w:pPr>
      <w:r w:rsidRPr="00D17A3E">
        <w:rPr>
          <w:i/>
          <w:iCs/>
          <w:sz w:val="26"/>
          <w:szCs w:val="26"/>
          <w:lang w:val="pt-BR"/>
        </w:rPr>
        <w:lastRenderedPageBreak/>
        <w:t xml:space="preserve">Sume stabilite suplimentar pe un inspector, urmare inspectiilor fiscale la contribuabili persoane juridice </w:t>
      </w:r>
      <w:r w:rsidRPr="00D17A3E">
        <w:rPr>
          <w:sz w:val="26"/>
          <w:szCs w:val="26"/>
          <w:lang w:val="pt-BR"/>
        </w:rPr>
        <w:t xml:space="preserve">a fost în valoare de 240.318 lei/inspector iar la </w:t>
      </w:r>
      <w:r w:rsidRPr="00D17A3E">
        <w:rPr>
          <w:i/>
          <w:iCs/>
          <w:sz w:val="26"/>
          <w:szCs w:val="26"/>
          <w:lang w:val="pt-BR"/>
        </w:rPr>
        <w:t>persoane fizice</w:t>
      </w:r>
      <w:r w:rsidRPr="00D17A3E">
        <w:rPr>
          <w:sz w:val="26"/>
          <w:szCs w:val="26"/>
          <w:lang w:val="pt-BR"/>
        </w:rPr>
        <w:t xml:space="preserve"> 191.472 lei/inspector.</w:t>
      </w:r>
    </w:p>
    <w:p w:rsidR="00E27E10" w:rsidRPr="00D17A3E" w:rsidRDefault="00E27E10" w:rsidP="0098155C">
      <w:pPr>
        <w:ind w:left="1080"/>
        <w:jc w:val="both"/>
        <w:rPr>
          <w:rStyle w:val="Emphasis"/>
          <w:rFonts w:ascii="Times New (W1)" w:hAnsi="Times New (W1)" w:cs="Times New (W1)"/>
          <w:i w:val="0"/>
          <w:iCs w:val="0"/>
          <w:sz w:val="26"/>
          <w:szCs w:val="26"/>
          <w:lang w:val="pt-BR"/>
        </w:rPr>
      </w:pPr>
    </w:p>
    <w:p w:rsidR="00E27E10" w:rsidRPr="00D17A3E" w:rsidRDefault="00E27E10" w:rsidP="005D0B6B">
      <w:pPr>
        <w:pStyle w:val="BodyTextIndent3"/>
        <w:ind w:left="0" w:firstLine="720"/>
        <w:jc w:val="both"/>
        <w:rPr>
          <w:color w:val="000000"/>
          <w:sz w:val="26"/>
          <w:szCs w:val="26"/>
          <w:lang w:val="ro-RO"/>
        </w:rPr>
      </w:pPr>
      <w:r w:rsidRPr="00D17A3E">
        <w:rPr>
          <w:color w:val="000000"/>
          <w:sz w:val="26"/>
          <w:szCs w:val="26"/>
          <w:lang w:val="ro-RO"/>
        </w:rPr>
        <w:t>Prin activitatea desfăşurată de cele patru structuri de colectare : Buzău, Rm. Sărat , Pătârlagele şi Pogoanele, sunt administrate obligaţiile</w:t>
      </w:r>
      <w:r w:rsidRPr="00D17A3E">
        <w:rPr>
          <w:sz w:val="26"/>
          <w:szCs w:val="26"/>
          <w:lang w:val="pl-PL"/>
        </w:rPr>
        <w:t xml:space="preserve"> fiscale pentru </w:t>
      </w:r>
      <w:r w:rsidRPr="00D17A3E">
        <w:rPr>
          <w:color w:val="000000"/>
          <w:sz w:val="26"/>
          <w:szCs w:val="26"/>
          <w:lang w:val="ro-RO"/>
        </w:rPr>
        <w:t>23.861 contribuabili  persoane juridice şi 16.129 contribuabili  persoane fizice, iar prin intermediul Activităţii de Inspecţie Fiscală se asigură întărirea disciplinei fiscale.</w:t>
      </w:r>
    </w:p>
    <w:p w:rsidR="00E27E10" w:rsidRPr="00D17A3E" w:rsidRDefault="00E27E10" w:rsidP="00232FD9">
      <w:pPr>
        <w:pStyle w:val="BodyText"/>
        <w:rPr>
          <w:rStyle w:val="Emphasis"/>
          <w:rFonts w:ascii="Times New (W1)" w:hAnsi="Times New (W1)" w:cs="Times New (W1)"/>
          <w:i w:val="0"/>
          <w:iCs w:val="0"/>
          <w:sz w:val="26"/>
          <w:szCs w:val="26"/>
          <w:lang w:val="ro-RO"/>
        </w:rPr>
      </w:pPr>
      <w:r w:rsidRPr="00D17A3E">
        <w:rPr>
          <w:rStyle w:val="Emphasis"/>
          <w:rFonts w:ascii="Times New (W1)" w:hAnsi="Times New (W1)" w:cs="Times New (W1)"/>
          <w:i w:val="0"/>
          <w:iCs w:val="0"/>
          <w:sz w:val="26"/>
          <w:szCs w:val="26"/>
          <w:lang w:val="ro-RO"/>
        </w:rPr>
        <w:tab/>
        <w:t>Programul de încasări venituri bugetare în semestrul I 2021, a fost realizat în procent de 106,75% , veniturile realizate fiind în sumă de 1.089,56  mil. lei , faţă de un program de încasări de 1.020,70 mil.lei, depăsirea de 6,75 % reprezentând o sumă su</w:t>
      </w:r>
      <w:r>
        <w:rPr>
          <w:rStyle w:val="Emphasis"/>
          <w:rFonts w:ascii="Times New (W1)" w:hAnsi="Times New (W1)" w:cs="Times New (W1)"/>
          <w:i w:val="0"/>
          <w:iCs w:val="0"/>
          <w:sz w:val="26"/>
          <w:szCs w:val="26"/>
          <w:lang w:val="ro-RO"/>
        </w:rPr>
        <w:t>p</w:t>
      </w:r>
      <w:r w:rsidRPr="00D17A3E">
        <w:rPr>
          <w:rStyle w:val="Emphasis"/>
          <w:rFonts w:ascii="Times New (W1)" w:hAnsi="Times New (W1)" w:cs="Times New (W1)"/>
          <w:i w:val="0"/>
          <w:iCs w:val="0"/>
          <w:sz w:val="26"/>
          <w:szCs w:val="26"/>
          <w:lang w:val="ro-RO"/>
        </w:rPr>
        <w:t>limentară de 68,86 mil. lei.</w:t>
      </w:r>
    </w:p>
    <w:p w:rsidR="00E27E10" w:rsidRPr="00D17A3E" w:rsidRDefault="00E27E10" w:rsidP="00232FD9">
      <w:pPr>
        <w:pStyle w:val="BodyText"/>
        <w:rPr>
          <w:rStyle w:val="Emphasis"/>
          <w:rFonts w:ascii="Times New (W1)" w:hAnsi="Times New (W1)" w:cs="Times New (W1)"/>
          <w:i w:val="0"/>
          <w:iCs w:val="0"/>
          <w:sz w:val="26"/>
          <w:szCs w:val="26"/>
          <w:lang w:val="ro-RO"/>
        </w:rPr>
      </w:pPr>
    </w:p>
    <w:p w:rsidR="00E27E10" w:rsidRPr="00D17A3E" w:rsidRDefault="00E27E10" w:rsidP="00232FD9">
      <w:pPr>
        <w:pStyle w:val="BodyText"/>
        <w:ind w:firstLine="720"/>
        <w:rPr>
          <w:sz w:val="26"/>
          <w:szCs w:val="26"/>
        </w:rPr>
      </w:pPr>
      <w:r w:rsidRPr="00D17A3E">
        <w:rPr>
          <w:sz w:val="26"/>
          <w:szCs w:val="26"/>
        </w:rPr>
        <w:t xml:space="preserve">În structură, pe bugete, situaţia privind realizarea  veniturilor comparativ cu programul de încasări, se prezintă astfel: </w:t>
      </w:r>
    </w:p>
    <w:p w:rsidR="00E27E10" w:rsidRPr="00D17A3E" w:rsidRDefault="00E27E10" w:rsidP="00232FD9">
      <w:pPr>
        <w:pStyle w:val="BodyText"/>
        <w:ind w:firstLine="720"/>
        <w:rPr>
          <w:sz w:val="26"/>
          <w:szCs w:val="26"/>
        </w:rPr>
      </w:pPr>
    </w:p>
    <w:p w:rsidR="00E27E10" w:rsidRPr="008D5457" w:rsidRDefault="00E27E10" w:rsidP="00232FD9">
      <w:pPr>
        <w:pStyle w:val="BodyText"/>
        <w:ind w:firstLine="720"/>
        <w:rPr>
          <w:sz w:val="24"/>
          <w:szCs w:val="24"/>
        </w:rPr>
      </w:pPr>
    </w:p>
    <w:p w:rsidR="00E27E10" w:rsidRDefault="00E27E10" w:rsidP="00232FD9">
      <w:pPr>
        <w:ind w:left="1440"/>
        <w:jc w:val="both"/>
      </w:pPr>
      <w:r>
        <w:t xml:space="preserve">                                                                                  </w:t>
      </w:r>
      <w:r w:rsidRPr="001C059A">
        <w:t xml:space="preserve">        </w:t>
      </w:r>
      <w:r>
        <w:t xml:space="preserve">             </w:t>
      </w:r>
      <w:r w:rsidRPr="001C059A">
        <w:t xml:space="preserve">  -</w:t>
      </w:r>
      <w:r>
        <w:t xml:space="preserve"> mil. </w:t>
      </w:r>
      <w:r w:rsidRPr="001C059A">
        <w:t xml:space="preserve">lei </w:t>
      </w:r>
      <w:r>
        <w:t>–</w:t>
      </w:r>
    </w:p>
    <w:tbl>
      <w:tblPr>
        <w:tblW w:w="8420" w:type="dxa"/>
        <w:jc w:val="center"/>
        <w:tblLook w:val="0000" w:firstRow="0" w:lastRow="0" w:firstColumn="0" w:lastColumn="0" w:noHBand="0" w:noVBand="0"/>
      </w:tblPr>
      <w:tblGrid>
        <w:gridCol w:w="2468"/>
        <w:gridCol w:w="1996"/>
        <w:gridCol w:w="1996"/>
        <w:gridCol w:w="1960"/>
      </w:tblGrid>
      <w:tr w:rsidR="00E27E10">
        <w:trPr>
          <w:trHeight w:val="555"/>
          <w:jc w:val="center"/>
        </w:trPr>
        <w:tc>
          <w:tcPr>
            <w:tcW w:w="2468" w:type="dxa"/>
            <w:vMerge w:val="restart"/>
            <w:tcBorders>
              <w:top w:val="single" w:sz="8" w:space="0" w:color="auto"/>
              <w:left w:val="single" w:sz="8" w:space="0" w:color="auto"/>
              <w:bottom w:val="single" w:sz="4" w:space="0" w:color="000000"/>
              <w:right w:val="single" w:sz="4" w:space="0" w:color="000000"/>
            </w:tcBorders>
            <w:vAlign w:val="center"/>
          </w:tcPr>
          <w:p w:rsidR="00E27E10" w:rsidRPr="005A00FD" w:rsidRDefault="00E27E10" w:rsidP="008968F4">
            <w:pPr>
              <w:jc w:val="center"/>
              <w:rPr>
                <w:sz w:val="20"/>
                <w:szCs w:val="20"/>
              </w:rPr>
            </w:pPr>
            <w:r w:rsidRPr="005A00FD">
              <w:rPr>
                <w:sz w:val="20"/>
                <w:szCs w:val="20"/>
              </w:rPr>
              <w:t>INDICATORI</w:t>
            </w:r>
          </w:p>
        </w:tc>
        <w:tc>
          <w:tcPr>
            <w:tcW w:w="5952" w:type="dxa"/>
            <w:gridSpan w:val="3"/>
            <w:tcBorders>
              <w:top w:val="single" w:sz="8" w:space="0" w:color="auto"/>
              <w:left w:val="nil"/>
              <w:bottom w:val="single" w:sz="4" w:space="0" w:color="000000"/>
              <w:right w:val="single" w:sz="8" w:space="0" w:color="000000"/>
            </w:tcBorders>
            <w:vAlign w:val="center"/>
          </w:tcPr>
          <w:p w:rsidR="00E27E10" w:rsidRPr="005A00FD" w:rsidRDefault="00E27E10" w:rsidP="008968F4">
            <w:pPr>
              <w:jc w:val="center"/>
            </w:pPr>
            <w:r w:rsidRPr="005A00FD">
              <w:t>Realizare program semestrul I 2021</w:t>
            </w:r>
          </w:p>
        </w:tc>
      </w:tr>
      <w:tr w:rsidR="00E27E10">
        <w:trPr>
          <w:trHeight w:val="525"/>
          <w:jc w:val="center"/>
        </w:trPr>
        <w:tc>
          <w:tcPr>
            <w:tcW w:w="2468" w:type="dxa"/>
            <w:vMerge/>
            <w:tcBorders>
              <w:top w:val="single" w:sz="8" w:space="0" w:color="auto"/>
              <w:left w:val="single" w:sz="8" w:space="0" w:color="auto"/>
              <w:bottom w:val="single" w:sz="4" w:space="0" w:color="000000"/>
              <w:right w:val="single" w:sz="4" w:space="0" w:color="000000"/>
            </w:tcBorders>
            <w:vAlign w:val="center"/>
          </w:tcPr>
          <w:p w:rsidR="00E27E10" w:rsidRPr="005A00FD" w:rsidRDefault="00E27E10" w:rsidP="008968F4">
            <w:pPr>
              <w:rPr>
                <w:sz w:val="20"/>
                <w:szCs w:val="20"/>
              </w:rPr>
            </w:pPr>
          </w:p>
        </w:tc>
        <w:tc>
          <w:tcPr>
            <w:tcW w:w="1996" w:type="dxa"/>
            <w:tcBorders>
              <w:top w:val="nil"/>
              <w:left w:val="nil"/>
              <w:bottom w:val="nil"/>
              <w:right w:val="single" w:sz="4" w:space="0" w:color="000000"/>
            </w:tcBorders>
            <w:vAlign w:val="center"/>
          </w:tcPr>
          <w:p w:rsidR="00E27E10" w:rsidRPr="005A00FD" w:rsidRDefault="00E27E10" w:rsidP="008968F4">
            <w:pPr>
              <w:jc w:val="center"/>
              <w:rPr>
                <w:sz w:val="20"/>
                <w:szCs w:val="20"/>
              </w:rPr>
            </w:pPr>
            <w:r w:rsidRPr="005A00FD">
              <w:rPr>
                <w:sz w:val="20"/>
                <w:szCs w:val="20"/>
              </w:rPr>
              <w:t>Program  incasari</w:t>
            </w:r>
          </w:p>
        </w:tc>
        <w:tc>
          <w:tcPr>
            <w:tcW w:w="1996" w:type="dxa"/>
            <w:tcBorders>
              <w:top w:val="nil"/>
              <w:left w:val="nil"/>
              <w:bottom w:val="nil"/>
              <w:right w:val="single" w:sz="4" w:space="0" w:color="000000"/>
            </w:tcBorders>
            <w:noWrap/>
            <w:vAlign w:val="center"/>
          </w:tcPr>
          <w:p w:rsidR="00E27E10" w:rsidRPr="005A00FD" w:rsidRDefault="00E27E10" w:rsidP="008968F4">
            <w:pPr>
              <w:jc w:val="center"/>
              <w:rPr>
                <w:sz w:val="20"/>
                <w:szCs w:val="20"/>
              </w:rPr>
            </w:pPr>
            <w:r w:rsidRPr="005A00FD">
              <w:rPr>
                <w:sz w:val="20"/>
                <w:szCs w:val="20"/>
              </w:rPr>
              <w:t xml:space="preserve">Realizari </w:t>
            </w:r>
          </w:p>
        </w:tc>
        <w:tc>
          <w:tcPr>
            <w:tcW w:w="1960" w:type="dxa"/>
            <w:tcBorders>
              <w:top w:val="nil"/>
              <w:left w:val="nil"/>
              <w:bottom w:val="nil"/>
              <w:right w:val="single" w:sz="8" w:space="0" w:color="auto"/>
            </w:tcBorders>
            <w:vAlign w:val="center"/>
          </w:tcPr>
          <w:p w:rsidR="00E27E10" w:rsidRPr="005A00FD" w:rsidRDefault="00E27E10" w:rsidP="008968F4">
            <w:pPr>
              <w:jc w:val="center"/>
              <w:rPr>
                <w:sz w:val="20"/>
                <w:szCs w:val="20"/>
              </w:rPr>
            </w:pPr>
            <w:r w:rsidRPr="005A00FD">
              <w:rPr>
                <w:sz w:val="20"/>
                <w:szCs w:val="20"/>
              </w:rPr>
              <w:t>Grad realizare program</w:t>
            </w:r>
          </w:p>
        </w:tc>
      </w:tr>
      <w:tr w:rsidR="00E27E10">
        <w:trPr>
          <w:trHeight w:val="427"/>
          <w:jc w:val="center"/>
        </w:trPr>
        <w:tc>
          <w:tcPr>
            <w:tcW w:w="2468" w:type="dxa"/>
            <w:tcBorders>
              <w:top w:val="single" w:sz="8" w:space="0" w:color="auto"/>
              <w:left w:val="single" w:sz="8" w:space="0" w:color="auto"/>
              <w:bottom w:val="single" w:sz="8" w:space="0" w:color="auto"/>
              <w:right w:val="single" w:sz="4" w:space="0" w:color="000000"/>
            </w:tcBorders>
            <w:vAlign w:val="center"/>
          </w:tcPr>
          <w:p w:rsidR="00E27E10" w:rsidRPr="005A00FD" w:rsidRDefault="00E27E10" w:rsidP="008968F4">
            <w:pPr>
              <w:jc w:val="center"/>
              <w:rPr>
                <w:sz w:val="16"/>
                <w:szCs w:val="16"/>
                <w:lang w:val="pt-BR"/>
              </w:rPr>
            </w:pPr>
            <w:r w:rsidRPr="005A00FD">
              <w:rPr>
                <w:sz w:val="16"/>
                <w:szCs w:val="16"/>
                <w:lang w:val="pt-BR"/>
              </w:rPr>
              <w:t>Bugetul de stat</w:t>
            </w:r>
          </w:p>
        </w:tc>
        <w:tc>
          <w:tcPr>
            <w:tcW w:w="1996" w:type="dxa"/>
            <w:tcBorders>
              <w:top w:val="single" w:sz="8" w:space="0" w:color="auto"/>
              <w:left w:val="nil"/>
              <w:bottom w:val="single" w:sz="8" w:space="0" w:color="auto"/>
              <w:right w:val="single" w:sz="4" w:space="0" w:color="000000"/>
            </w:tcBorders>
            <w:noWrap/>
            <w:vAlign w:val="center"/>
          </w:tcPr>
          <w:p w:rsidR="00E27E10" w:rsidRPr="005A00FD" w:rsidRDefault="00E27E10" w:rsidP="008968F4">
            <w:pPr>
              <w:jc w:val="center"/>
              <w:rPr>
                <w:sz w:val="20"/>
                <w:szCs w:val="20"/>
                <w:lang w:val="pt-BR"/>
              </w:rPr>
            </w:pPr>
            <w:r w:rsidRPr="005A00FD">
              <w:rPr>
                <w:sz w:val="20"/>
                <w:szCs w:val="20"/>
                <w:lang w:val="pt-BR"/>
              </w:rPr>
              <w:t>435,75</w:t>
            </w:r>
          </w:p>
        </w:tc>
        <w:tc>
          <w:tcPr>
            <w:tcW w:w="1996" w:type="dxa"/>
            <w:tcBorders>
              <w:top w:val="single" w:sz="8" w:space="0" w:color="auto"/>
              <w:left w:val="nil"/>
              <w:bottom w:val="single" w:sz="8" w:space="0" w:color="auto"/>
              <w:right w:val="single" w:sz="4" w:space="0" w:color="000000"/>
            </w:tcBorders>
            <w:noWrap/>
            <w:vAlign w:val="center"/>
          </w:tcPr>
          <w:p w:rsidR="00E27E10" w:rsidRPr="005A00FD" w:rsidRDefault="00E27E10" w:rsidP="008968F4">
            <w:pPr>
              <w:jc w:val="center"/>
              <w:rPr>
                <w:sz w:val="20"/>
                <w:szCs w:val="20"/>
                <w:lang w:val="pt-BR"/>
              </w:rPr>
            </w:pPr>
            <w:r w:rsidRPr="005A00FD">
              <w:rPr>
                <w:sz w:val="20"/>
                <w:szCs w:val="20"/>
                <w:lang w:val="pt-BR"/>
              </w:rPr>
              <w:t>466,83</w:t>
            </w:r>
          </w:p>
        </w:tc>
        <w:tc>
          <w:tcPr>
            <w:tcW w:w="1960" w:type="dxa"/>
            <w:tcBorders>
              <w:top w:val="single" w:sz="8" w:space="0" w:color="auto"/>
              <w:left w:val="nil"/>
              <w:bottom w:val="single" w:sz="8" w:space="0" w:color="auto"/>
              <w:right w:val="single" w:sz="8" w:space="0" w:color="auto"/>
            </w:tcBorders>
            <w:noWrap/>
            <w:vAlign w:val="center"/>
          </w:tcPr>
          <w:p w:rsidR="00E27E10" w:rsidRPr="005A00FD" w:rsidRDefault="00E27E10" w:rsidP="008968F4">
            <w:pPr>
              <w:jc w:val="center"/>
              <w:rPr>
                <w:sz w:val="20"/>
                <w:szCs w:val="20"/>
                <w:lang w:val="pt-BR"/>
              </w:rPr>
            </w:pPr>
            <w:r w:rsidRPr="005A00FD">
              <w:rPr>
                <w:sz w:val="20"/>
                <w:szCs w:val="20"/>
                <w:lang w:val="pt-BR"/>
              </w:rPr>
              <w:t>107,13%</w:t>
            </w:r>
          </w:p>
        </w:tc>
      </w:tr>
      <w:tr w:rsidR="00E27E10">
        <w:trPr>
          <w:trHeight w:val="428"/>
          <w:jc w:val="center"/>
        </w:trPr>
        <w:tc>
          <w:tcPr>
            <w:tcW w:w="2468" w:type="dxa"/>
            <w:tcBorders>
              <w:top w:val="nil"/>
              <w:left w:val="single" w:sz="8" w:space="0" w:color="auto"/>
              <w:bottom w:val="single" w:sz="4" w:space="0" w:color="000000"/>
              <w:right w:val="single" w:sz="4" w:space="0" w:color="000000"/>
            </w:tcBorders>
            <w:vAlign w:val="center"/>
          </w:tcPr>
          <w:p w:rsidR="00E27E10" w:rsidRPr="005A00FD" w:rsidRDefault="00E27E10" w:rsidP="008968F4">
            <w:pPr>
              <w:jc w:val="center"/>
              <w:rPr>
                <w:sz w:val="16"/>
                <w:szCs w:val="16"/>
                <w:lang w:val="pt-BR"/>
              </w:rPr>
            </w:pPr>
            <w:r w:rsidRPr="005A00FD">
              <w:rPr>
                <w:sz w:val="16"/>
                <w:szCs w:val="16"/>
                <w:lang w:val="pt-BR"/>
              </w:rPr>
              <w:t>Bugetul asigurarilor sociale de stat</w:t>
            </w:r>
          </w:p>
        </w:tc>
        <w:tc>
          <w:tcPr>
            <w:tcW w:w="1996" w:type="dxa"/>
            <w:tcBorders>
              <w:top w:val="nil"/>
              <w:left w:val="nil"/>
              <w:bottom w:val="single" w:sz="8" w:space="0" w:color="000000"/>
              <w:right w:val="single" w:sz="8" w:space="0" w:color="000000"/>
            </w:tcBorders>
            <w:vAlign w:val="center"/>
          </w:tcPr>
          <w:p w:rsidR="00E27E10" w:rsidRPr="005A00FD" w:rsidRDefault="00E27E10" w:rsidP="008968F4">
            <w:pPr>
              <w:jc w:val="center"/>
              <w:rPr>
                <w:sz w:val="20"/>
                <w:szCs w:val="20"/>
              </w:rPr>
            </w:pPr>
            <w:r w:rsidRPr="005A00FD">
              <w:rPr>
                <w:sz w:val="20"/>
                <w:szCs w:val="20"/>
              </w:rPr>
              <w:t>393,97</w:t>
            </w:r>
          </w:p>
        </w:tc>
        <w:tc>
          <w:tcPr>
            <w:tcW w:w="1996" w:type="dxa"/>
            <w:tcBorders>
              <w:top w:val="nil"/>
              <w:left w:val="nil"/>
              <w:bottom w:val="single" w:sz="8" w:space="0" w:color="000000"/>
              <w:right w:val="single" w:sz="8" w:space="0" w:color="000000"/>
            </w:tcBorders>
            <w:vAlign w:val="center"/>
          </w:tcPr>
          <w:p w:rsidR="00E27E10" w:rsidRPr="005A00FD" w:rsidRDefault="00E27E10" w:rsidP="008968F4">
            <w:pPr>
              <w:jc w:val="center"/>
              <w:rPr>
                <w:sz w:val="20"/>
                <w:szCs w:val="20"/>
              </w:rPr>
            </w:pPr>
            <w:r w:rsidRPr="005A00FD">
              <w:rPr>
                <w:sz w:val="20"/>
                <w:szCs w:val="20"/>
              </w:rPr>
              <w:t>424,71</w:t>
            </w:r>
          </w:p>
        </w:tc>
        <w:tc>
          <w:tcPr>
            <w:tcW w:w="1960" w:type="dxa"/>
            <w:tcBorders>
              <w:top w:val="nil"/>
              <w:left w:val="single" w:sz="4" w:space="0" w:color="000000"/>
              <w:bottom w:val="single" w:sz="4" w:space="0" w:color="000000"/>
              <w:right w:val="single" w:sz="8" w:space="0" w:color="auto"/>
            </w:tcBorders>
            <w:noWrap/>
            <w:vAlign w:val="center"/>
          </w:tcPr>
          <w:p w:rsidR="00E27E10" w:rsidRPr="005A00FD" w:rsidRDefault="00E27E10" w:rsidP="008968F4">
            <w:pPr>
              <w:jc w:val="center"/>
              <w:rPr>
                <w:sz w:val="20"/>
                <w:szCs w:val="20"/>
                <w:lang w:val="pt-BR"/>
              </w:rPr>
            </w:pPr>
            <w:r w:rsidRPr="005A00FD">
              <w:rPr>
                <w:sz w:val="20"/>
                <w:szCs w:val="20"/>
                <w:lang w:val="pt-BR"/>
              </w:rPr>
              <w:t>107,80%</w:t>
            </w:r>
          </w:p>
        </w:tc>
      </w:tr>
      <w:tr w:rsidR="00E27E10">
        <w:trPr>
          <w:trHeight w:val="427"/>
          <w:jc w:val="center"/>
        </w:trPr>
        <w:tc>
          <w:tcPr>
            <w:tcW w:w="2468" w:type="dxa"/>
            <w:tcBorders>
              <w:top w:val="nil"/>
              <w:left w:val="single" w:sz="8" w:space="0" w:color="auto"/>
              <w:bottom w:val="single" w:sz="4" w:space="0" w:color="000000"/>
              <w:right w:val="single" w:sz="4" w:space="0" w:color="000000"/>
            </w:tcBorders>
            <w:vAlign w:val="center"/>
          </w:tcPr>
          <w:p w:rsidR="00E27E10" w:rsidRPr="005A00FD" w:rsidRDefault="00E27E10" w:rsidP="008968F4">
            <w:pPr>
              <w:jc w:val="center"/>
              <w:rPr>
                <w:sz w:val="16"/>
                <w:szCs w:val="16"/>
                <w:lang w:val="fr-FR"/>
              </w:rPr>
            </w:pPr>
            <w:r w:rsidRPr="005A00FD">
              <w:rPr>
                <w:sz w:val="16"/>
                <w:szCs w:val="16"/>
                <w:lang w:val="fr-FR"/>
              </w:rPr>
              <w:t>Bugetul  fondului national unic de asigurari de sanatate</w:t>
            </w:r>
          </w:p>
        </w:tc>
        <w:tc>
          <w:tcPr>
            <w:tcW w:w="1996" w:type="dxa"/>
            <w:tcBorders>
              <w:top w:val="nil"/>
              <w:left w:val="nil"/>
              <w:bottom w:val="single" w:sz="8" w:space="0" w:color="000000"/>
              <w:right w:val="single" w:sz="8" w:space="0" w:color="000000"/>
            </w:tcBorders>
            <w:vAlign w:val="center"/>
          </w:tcPr>
          <w:p w:rsidR="00E27E10" w:rsidRPr="005A00FD" w:rsidRDefault="00E27E10" w:rsidP="008968F4">
            <w:pPr>
              <w:jc w:val="center"/>
              <w:rPr>
                <w:sz w:val="20"/>
                <w:szCs w:val="20"/>
              </w:rPr>
            </w:pPr>
            <w:r w:rsidRPr="005A00FD">
              <w:rPr>
                <w:sz w:val="20"/>
                <w:szCs w:val="20"/>
              </w:rPr>
              <w:t>177,93</w:t>
            </w:r>
          </w:p>
        </w:tc>
        <w:tc>
          <w:tcPr>
            <w:tcW w:w="1996" w:type="dxa"/>
            <w:tcBorders>
              <w:top w:val="nil"/>
              <w:left w:val="nil"/>
              <w:bottom w:val="single" w:sz="8" w:space="0" w:color="000000"/>
              <w:right w:val="single" w:sz="8" w:space="0" w:color="000000"/>
            </w:tcBorders>
            <w:vAlign w:val="center"/>
          </w:tcPr>
          <w:p w:rsidR="00E27E10" w:rsidRPr="005A00FD" w:rsidRDefault="00E27E10" w:rsidP="008968F4">
            <w:pPr>
              <w:jc w:val="center"/>
              <w:rPr>
                <w:sz w:val="20"/>
                <w:szCs w:val="20"/>
              </w:rPr>
            </w:pPr>
            <w:r w:rsidRPr="005A00FD">
              <w:rPr>
                <w:sz w:val="20"/>
                <w:szCs w:val="20"/>
              </w:rPr>
              <w:t>183,44</w:t>
            </w:r>
          </w:p>
        </w:tc>
        <w:tc>
          <w:tcPr>
            <w:tcW w:w="1960" w:type="dxa"/>
            <w:tcBorders>
              <w:top w:val="nil"/>
              <w:left w:val="single" w:sz="4" w:space="0" w:color="000000"/>
              <w:bottom w:val="single" w:sz="4" w:space="0" w:color="000000"/>
              <w:right w:val="single" w:sz="8" w:space="0" w:color="auto"/>
            </w:tcBorders>
            <w:noWrap/>
            <w:vAlign w:val="center"/>
          </w:tcPr>
          <w:p w:rsidR="00E27E10" w:rsidRPr="005A00FD" w:rsidRDefault="00E27E10" w:rsidP="008968F4">
            <w:pPr>
              <w:jc w:val="center"/>
              <w:rPr>
                <w:sz w:val="20"/>
                <w:szCs w:val="20"/>
                <w:lang w:val="pt-BR"/>
              </w:rPr>
            </w:pPr>
            <w:r w:rsidRPr="005A00FD">
              <w:rPr>
                <w:sz w:val="20"/>
                <w:szCs w:val="20"/>
                <w:lang w:val="pt-BR"/>
              </w:rPr>
              <w:t>103,10%</w:t>
            </w:r>
          </w:p>
        </w:tc>
      </w:tr>
      <w:tr w:rsidR="00E27E10">
        <w:trPr>
          <w:trHeight w:val="428"/>
          <w:jc w:val="center"/>
        </w:trPr>
        <w:tc>
          <w:tcPr>
            <w:tcW w:w="2468" w:type="dxa"/>
            <w:tcBorders>
              <w:top w:val="nil"/>
              <w:left w:val="single" w:sz="8" w:space="0" w:color="auto"/>
              <w:bottom w:val="nil"/>
              <w:right w:val="single" w:sz="4" w:space="0" w:color="000000"/>
            </w:tcBorders>
            <w:vAlign w:val="center"/>
          </w:tcPr>
          <w:p w:rsidR="00E27E10" w:rsidRPr="005A00FD" w:rsidRDefault="00E27E10" w:rsidP="008968F4">
            <w:pPr>
              <w:jc w:val="center"/>
              <w:rPr>
                <w:sz w:val="16"/>
                <w:szCs w:val="16"/>
                <w:lang w:val="pt-BR"/>
              </w:rPr>
            </w:pPr>
            <w:r w:rsidRPr="005A00FD">
              <w:rPr>
                <w:sz w:val="16"/>
                <w:szCs w:val="16"/>
                <w:lang w:val="pt-BR"/>
              </w:rPr>
              <w:t>Bugetul asigurarilor sociale pentru somaj</w:t>
            </w:r>
          </w:p>
        </w:tc>
        <w:tc>
          <w:tcPr>
            <w:tcW w:w="1996" w:type="dxa"/>
            <w:tcBorders>
              <w:top w:val="nil"/>
              <w:left w:val="nil"/>
              <w:bottom w:val="single" w:sz="8" w:space="0" w:color="000000"/>
              <w:right w:val="single" w:sz="8" w:space="0" w:color="000000"/>
            </w:tcBorders>
            <w:vAlign w:val="center"/>
          </w:tcPr>
          <w:p w:rsidR="00E27E10" w:rsidRPr="005A00FD" w:rsidRDefault="00E27E10" w:rsidP="008968F4">
            <w:pPr>
              <w:jc w:val="center"/>
              <w:rPr>
                <w:sz w:val="20"/>
                <w:szCs w:val="20"/>
              </w:rPr>
            </w:pPr>
            <w:r w:rsidRPr="005A00FD">
              <w:rPr>
                <w:sz w:val="20"/>
                <w:szCs w:val="20"/>
              </w:rPr>
              <w:t>13,05</w:t>
            </w:r>
          </w:p>
        </w:tc>
        <w:tc>
          <w:tcPr>
            <w:tcW w:w="1996" w:type="dxa"/>
            <w:tcBorders>
              <w:top w:val="nil"/>
              <w:left w:val="nil"/>
              <w:bottom w:val="single" w:sz="8" w:space="0" w:color="000000"/>
              <w:right w:val="single" w:sz="8" w:space="0" w:color="000000"/>
            </w:tcBorders>
            <w:vAlign w:val="center"/>
          </w:tcPr>
          <w:p w:rsidR="00E27E10" w:rsidRPr="005A00FD" w:rsidRDefault="00E27E10" w:rsidP="008968F4">
            <w:pPr>
              <w:jc w:val="center"/>
              <w:rPr>
                <w:sz w:val="20"/>
                <w:szCs w:val="20"/>
              </w:rPr>
            </w:pPr>
            <w:r w:rsidRPr="005A00FD">
              <w:rPr>
                <w:sz w:val="20"/>
                <w:szCs w:val="20"/>
              </w:rPr>
              <w:t>14,58</w:t>
            </w:r>
          </w:p>
        </w:tc>
        <w:tc>
          <w:tcPr>
            <w:tcW w:w="1960" w:type="dxa"/>
            <w:tcBorders>
              <w:top w:val="nil"/>
              <w:left w:val="single" w:sz="4" w:space="0" w:color="000000"/>
              <w:bottom w:val="nil"/>
              <w:right w:val="single" w:sz="8" w:space="0" w:color="auto"/>
            </w:tcBorders>
            <w:noWrap/>
            <w:vAlign w:val="center"/>
          </w:tcPr>
          <w:p w:rsidR="00E27E10" w:rsidRPr="005A00FD" w:rsidRDefault="00E27E10" w:rsidP="008968F4">
            <w:pPr>
              <w:jc w:val="center"/>
              <w:rPr>
                <w:sz w:val="20"/>
                <w:szCs w:val="20"/>
                <w:lang w:val="pt-BR"/>
              </w:rPr>
            </w:pPr>
            <w:r w:rsidRPr="005A00FD">
              <w:rPr>
                <w:sz w:val="20"/>
                <w:szCs w:val="20"/>
                <w:lang w:val="pt-BR"/>
              </w:rPr>
              <w:t>111,72%</w:t>
            </w:r>
          </w:p>
        </w:tc>
      </w:tr>
      <w:tr w:rsidR="00E27E10">
        <w:trPr>
          <w:trHeight w:val="520"/>
          <w:jc w:val="center"/>
        </w:trPr>
        <w:tc>
          <w:tcPr>
            <w:tcW w:w="2468" w:type="dxa"/>
            <w:tcBorders>
              <w:top w:val="single" w:sz="8" w:space="0" w:color="auto"/>
              <w:left w:val="single" w:sz="8" w:space="0" w:color="auto"/>
              <w:bottom w:val="single" w:sz="8" w:space="0" w:color="auto"/>
              <w:right w:val="single" w:sz="4" w:space="0" w:color="000000"/>
            </w:tcBorders>
            <w:shd w:val="clear" w:color="auto" w:fill="FFFF99"/>
            <w:vAlign w:val="center"/>
          </w:tcPr>
          <w:p w:rsidR="00E27E10" w:rsidRPr="005A00FD" w:rsidRDefault="00E27E10" w:rsidP="008968F4">
            <w:pPr>
              <w:jc w:val="center"/>
              <w:rPr>
                <w:b/>
                <w:bCs/>
                <w:i/>
                <w:iCs/>
                <w:sz w:val="16"/>
                <w:szCs w:val="16"/>
                <w:lang w:val="fr-FR"/>
              </w:rPr>
            </w:pPr>
            <w:r w:rsidRPr="005A00FD">
              <w:rPr>
                <w:b/>
                <w:bCs/>
                <w:i/>
                <w:iCs/>
                <w:sz w:val="16"/>
                <w:szCs w:val="16"/>
                <w:lang w:val="fr-FR"/>
              </w:rPr>
              <w:t>TOTAL BUGET CONSOLIDAT     EXCLUSIV  VAMA</w:t>
            </w:r>
          </w:p>
        </w:tc>
        <w:tc>
          <w:tcPr>
            <w:tcW w:w="1996" w:type="dxa"/>
            <w:tcBorders>
              <w:top w:val="single" w:sz="8" w:space="0" w:color="auto"/>
              <w:left w:val="nil"/>
              <w:bottom w:val="single" w:sz="8" w:space="0" w:color="auto"/>
              <w:right w:val="single" w:sz="4" w:space="0" w:color="000000"/>
            </w:tcBorders>
            <w:shd w:val="clear" w:color="auto" w:fill="FFFF99"/>
            <w:noWrap/>
            <w:vAlign w:val="center"/>
          </w:tcPr>
          <w:p w:rsidR="00E27E10" w:rsidRPr="005A00FD" w:rsidRDefault="00E27E10" w:rsidP="008968F4">
            <w:pPr>
              <w:jc w:val="center"/>
              <w:rPr>
                <w:b/>
                <w:bCs/>
                <w:i/>
                <w:iCs/>
                <w:sz w:val="16"/>
                <w:szCs w:val="16"/>
              </w:rPr>
            </w:pPr>
            <w:r w:rsidRPr="005A00FD">
              <w:rPr>
                <w:b/>
                <w:bCs/>
                <w:i/>
                <w:iCs/>
                <w:sz w:val="16"/>
                <w:szCs w:val="16"/>
              </w:rPr>
              <w:t>1.020,70</w:t>
            </w:r>
          </w:p>
        </w:tc>
        <w:tc>
          <w:tcPr>
            <w:tcW w:w="1996" w:type="dxa"/>
            <w:tcBorders>
              <w:top w:val="single" w:sz="8" w:space="0" w:color="auto"/>
              <w:left w:val="nil"/>
              <w:bottom w:val="single" w:sz="8" w:space="0" w:color="auto"/>
              <w:right w:val="single" w:sz="4" w:space="0" w:color="000000"/>
            </w:tcBorders>
            <w:shd w:val="clear" w:color="auto" w:fill="FFFF99"/>
            <w:noWrap/>
            <w:vAlign w:val="center"/>
          </w:tcPr>
          <w:p w:rsidR="00E27E10" w:rsidRPr="005A00FD" w:rsidRDefault="00E27E10" w:rsidP="008968F4">
            <w:pPr>
              <w:jc w:val="center"/>
              <w:rPr>
                <w:b/>
                <w:bCs/>
                <w:i/>
                <w:iCs/>
                <w:sz w:val="16"/>
                <w:szCs w:val="16"/>
              </w:rPr>
            </w:pPr>
            <w:r w:rsidRPr="005A00FD">
              <w:rPr>
                <w:b/>
                <w:bCs/>
                <w:i/>
                <w:iCs/>
                <w:sz w:val="16"/>
                <w:szCs w:val="16"/>
              </w:rPr>
              <w:t>1.089,56</w:t>
            </w:r>
          </w:p>
        </w:tc>
        <w:tc>
          <w:tcPr>
            <w:tcW w:w="1960" w:type="dxa"/>
            <w:tcBorders>
              <w:top w:val="single" w:sz="8" w:space="0" w:color="auto"/>
              <w:left w:val="nil"/>
              <w:bottom w:val="single" w:sz="8" w:space="0" w:color="auto"/>
              <w:right w:val="single" w:sz="8" w:space="0" w:color="auto"/>
            </w:tcBorders>
            <w:shd w:val="clear" w:color="auto" w:fill="FFFF99"/>
            <w:noWrap/>
            <w:vAlign w:val="center"/>
          </w:tcPr>
          <w:p w:rsidR="00E27E10" w:rsidRPr="005A00FD" w:rsidRDefault="00E27E10" w:rsidP="008968F4">
            <w:pPr>
              <w:jc w:val="center"/>
              <w:rPr>
                <w:b/>
                <w:bCs/>
                <w:i/>
                <w:iCs/>
                <w:sz w:val="16"/>
                <w:szCs w:val="16"/>
              </w:rPr>
            </w:pPr>
            <w:r w:rsidRPr="005A00FD">
              <w:rPr>
                <w:b/>
                <w:bCs/>
                <w:i/>
                <w:iCs/>
                <w:sz w:val="16"/>
                <w:szCs w:val="16"/>
              </w:rPr>
              <w:t>106,75%</w:t>
            </w:r>
          </w:p>
        </w:tc>
      </w:tr>
    </w:tbl>
    <w:p w:rsidR="00E27E10" w:rsidRDefault="00E27E10" w:rsidP="00232FD9">
      <w:pPr>
        <w:pStyle w:val="BodyText"/>
        <w:ind w:firstLine="720"/>
        <w:rPr>
          <w:sz w:val="24"/>
          <w:szCs w:val="24"/>
        </w:rPr>
      </w:pPr>
    </w:p>
    <w:p w:rsidR="00E27E10" w:rsidRDefault="00E27E10" w:rsidP="00232FD9">
      <w:pPr>
        <w:pStyle w:val="BodyText"/>
        <w:ind w:firstLine="720"/>
        <w:rPr>
          <w:sz w:val="24"/>
          <w:szCs w:val="24"/>
        </w:rPr>
      </w:pPr>
    </w:p>
    <w:p w:rsidR="00E27E10" w:rsidRPr="00D17A3E" w:rsidRDefault="00E27E10" w:rsidP="00232FD9">
      <w:pPr>
        <w:pStyle w:val="BodyText"/>
        <w:ind w:firstLine="720"/>
        <w:rPr>
          <w:sz w:val="26"/>
          <w:szCs w:val="26"/>
          <w:lang w:val="it-IT"/>
        </w:rPr>
      </w:pPr>
      <w:r w:rsidRPr="00D17A3E">
        <w:rPr>
          <w:sz w:val="26"/>
          <w:szCs w:val="26"/>
          <w:lang w:val="it-IT"/>
        </w:rPr>
        <w:t xml:space="preserve"> Structura  încasării veniturilor bugetare, pe categorii de bugete,  la 30.06.2021 se prezintă grafic, astfel:</w:t>
      </w:r>
      <w:r w:rsidRPr="00D17A3E">
        <w:rPr>
          <w:sz w:val="26"/>
          <w:szCs w:val="26"/>
          <w:lang w:val="it-IT"/>
        </w:rPr>
        <w:tab/>
      </w:r>
    </w:p>
    <w:p w:rsidR="00E27E10" w:rsidRPr="00A20690" w:rsidRDefault="00E27E10" w:rsidP="00232FD9">
      <w:pPr>
        <w:pStyle w:val="BodyText"/>
        <w:ind w:firstLine="720"/>
        <w:rPr>
          <w:sz w:val="24"/>
          <w:szCs w:val="24"/>
          <w:lang w:val="it-IT"/>
        </w:rPr>
      </w:pPr>
    </w:p>
    <w:p w:rsidR="00E27E10" w:rsidRDefault="00B00F22" w:rsidP="00D17A3E">
      <w:pPr>
        <w:pStyle w:val="BodyText"/>
        <w:jc w:val="center"/>
        <w:rPr>
          <w:lang w:val="pt-BR"/>
        </w:rPr>
      </w:pPr>
      <w:r>
        <w:rPr>
          <w:noProof/>
          <w:lang w:val="en-US"/>
        </w:rPr>
        <w:drawing>
          <wp:inline distT="0" distB="0" distL="0" distR="0">
            <wp:extent cx="36957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286000"/>
                    </a:xfrm>
                    <a:prstGeom prst="rect">
                      <a:avLst/>
                    </a:prstGeom>
                    <a:noFill/>
                    <a:ln>
                      <a:noFill/>
                    </a:ln>
                  </pic:spPr>
                </pic:pic>
              </a:graphicData>
            </a:graphic>
          </wp:inline>
        </w:drawing>
      </w:r>
    </w:p>
    <w:p w:rsidR="00E27E10" w:rsidRPr="00D17A3E" w:rsidRDefault="00E27E10" w:rsidP="00232FD9">
      <w:pPr>
        <w:ind w:firstLine="720"/>
        <w:jc w:val="both"/>
        <w:rPr>
          <w:sz w:val="26"/>
          <w:szCs w:val="26"/>
          <w:lang w:val="pt-BR"/>
        </w:rPr>
      </w:pPr>
      <w:r w:rsidRPr="00D17A3E">
        <w:rPr>
          <w:sz w:val="26"/>
          <w:szCs w:val="26"/>
          <w:lang w:val="pt-BR"/>
        </w:rPr>
        <w:lastRenderedPageBreak/>
        <w:t>Având în vedere faptul că cele mai mari încasări sunt la bugetul de stat , respectiv 42,85% din totalul încasărilor , prezentăm principalele surse de provenienţă:</w:t>
      </w:r>
    </w:p>
    <w:p w:rsidR="00E27E10" w:rsidRDefault="00E27E10" w:rsidP="00232FD9">
      <w:pPr>
        <w:ind w:firstLine="720"/>
        <w:jc w:val="both"/>
        <w:rPr>
          <w:lang w:val="pt-BR"/>
        </w:rPr>
      </w:pPr>
    </w:p>
    <w:p w:rsidR="00E27E10" w:rsidRPr="00EF31BD" w:rsidRDefault="00E27E10" w:rsidP="00232FD9">
      <w:pPr>
        <w:ind w:firstLine="720"/>
        <w:jc w:val="both"/>
        <w:rPr>
          <w:lang w:val="pt-BR"/>
        </w:rPr>
      </w:pPr>
    </w:p>
    <w:p w:rsidR="00E27E10" w:rsidRDefault="00E27E10" w:rsidP="00943C34">
      <w:pPr>
        <w:numPr>
          <w:ilvl w:val="0"/>
          <w:numId w:val="14"/>
        </w:numPr>
        <w:jc w:val="both"/>
        <w:rPr>
          <w:sz w:val="28"/>
          <w:szCs w:val="28"/>
        </w:rPr>
      </w:pPr>
      <w:r>
        <w:rPr>
          <w:sz w:val="28"/>
          <w:szCs w:val="28"/>
        </w:rPr>
        <w:t xml:space="preserve">mil. </w:t>
      </w:r>
      <w:r w:rsidRPr="001C059A">
        <w:rPr>
          <w:sz w:val="28"/>
          <w:szCs w:val="28"/>
        </w:rPr>
        <w:t>lei-</w:t>
      </w:r>
    </w:p>
    <w:p w:rsidR="00E27E10" w:rsidRDefault="00E27E10" w:rsidP="00D17A3E">
      <w:pPr>
        <w:ind w:left="7905"/>
        <w:jc w:val="both"/>
        <w:rPr>
          <w:sz w:val="28"/>
          <w:szCs w:val="28"/>
        </w:rPr>
      </w:pPr>
    </w:p>
    <w:tbl>
      <w:tblPr>
        <w:tblW w:w="9546" w:type="dxa"/>
        <w:jc w:val="center"/>
        <w:tblLook w:val="0000" w:firstRow="0" w:lastRow="0" w:firstColumn="0" w:lastColumn="0" w:noHBand="0" w:noVBand="0"/>
      </w:tblPr>
      <w:tblGrid>
        <w:gridCol w:w="1857"/>
        <w:gridCol w:w="2731"/>
        <w:gridCol w:w="1760"/>
        <w:gridCol w:w="3198"/>
      </w:tblGrid>
      <w:tr w:rsidR="00E27E10" w:rsidRPr="00232FD9">
        <w:trPr>
          <w:trHeight w:val="555"/>
          <w:jc w:val="center"/>
        </w:trPr>
        <w:tc>
          <w:tcPr>
            <w:tcW w:w="1857" w:type="dxa"/>
            <w:vMerge w:val="restart"/>
            <w:tcBorders>
              <w:top w:val="single" w:sz="8" w:space="0" w:color="auto"/>
              <w:left w:val="single" w:sz="8" w:space="0" w:color="auto"/>
              <w:bottom w:val="single" w:sz="4" w:space="0" w:color="000000"/>
              <w:right w:val="single" w:sz="4" w:space="0" w:color="000000"/>
            </w:tcBorders>
            <w:vAlign w:val="center"/>
          </w:tcPr>
          <w:p w:rsidR="00E27E10" w:rsidRPr="008D5457" w:rsidRDefault="00E27E10" w:rsidP="008968F4">
            <w:pPr>
              <w:jc w:val="center"/>
              <w:rPr>
                <w:lang w:val="en-US"/>
              </w:rPr>
            </w:pPr>
            <w:r w:rsidRPr="008D5457">
              <w:rPr>
                <w:lang w:val="en-US"/>
              </w:rPr>
              <w:t>INDICATORI</w:t>
            </w:r>
          </w:p>
        </w:tc>
        <w:tc>
          <w:tcPr>
            <w:tcW w:w="7689" w:type="dxa"/>
            <w:gridSpan w:val="3"/>
            <w:tcBorders>
              <w:top w:val="single" w:sz="8" w:space="0" w:color="auto"/>
              <w:left w:val="nil"/>
              <w:bottom w:val="single" w:sz="4" w:space="0" w:color="000000"/>
              <w:right w:val="single" w:sz="8" w:space="0" w:color="000000"/>
            </w:tcBorders>
            <w:vAlign w:val="center"/>
          </w:tcPr>
          <w:p w:rsidR="00E27E10" w:rsidRPr="008D5457" w:rsidRDefault="00E27E10" w:rsidP="008968F4">
            <w:pPr>
              <w:jc w:val="center"/>
              <w:rPr>
                <w:lang w:val="en-US"/>
              </w:rPr>
            </w:pPr>
            <w:r w:rsidRPr="008D5457">
              <w:rPr>
                <w:lang w:val="en-US"/>
              </w:rPr>
              <w:t>Realizare program semestrul I 2021</w:t>
            </w:r>
          </w:p>
        </w:tc>
      </w:tr>
      <w:tr w:rsidR="00E27E10" w:rsidRPr="00232FD9">
        <w:trPr>
          <w:trHeight w:val="525"/>
          <w:jc w:val="center"/>
        </w:trPr>
        <w:tc>
          <w:tcPr>
            <w:tcW w:w="1857" w:type="dxa"/>
            <w:vMerge/>
            <w:tcBorders>
              <w:top w:val="single" w:sz="8" w:space="0" w:color="auto"/>
              <w:left w:val="single" w:sz="8" w:space="0" w:color="auto"/>
              <w:bottom w:val="single" w:sz="4" w:space="0" w:color="000000"/>
              <w:right w:val="single" w:sz="4" w:space="0" w:color="000000"/>
            </w:tcBorders>
            <w:vAlign w:val="center"/>
          </w:tcPr>
          <w:p w:rsidR="00E27E10" w:rsidRPr="008D5457" w:rsidRDefault="00E27E10" w:rsidP="008968F4">
            <w:pPr>
              <w:rPr>
                <w:lang w:val="en-US"/>
              </w:rPr>
            </w:pPr>
          </w:p>
        </w:tc>
        <w:tc>
          <w:tcPr>
            <w:tcW w:w="2731" w:type="dxa"/>
            <w:tcBorders>
              <w:top w:val="nil"/>
              <w:left w:val="nil"/>
              <w:bottom w:val="nil"/>
              <w:right w:val="single" w:sz="4" w:space="0" w:color="000000"/>
            </w:tcBorders>
            <w:vAlign w:val="center"/>
          </w:tcPr>
          <w:p w:rsidR="00E27E10" w:rsidRPr="008D5457" w:rsidRDefault="00E27E10" w:rsidP="008968F4">
            <w:pPr>
              <w:jc w:val="center"/>
              <w:rPr>
                <w:lang w:val="en-US"/>
              </w:rPr>
            </w:pPr>
            <w:r w:rsidRPr="008D5457">
              <w:rPr>
                <w:lang w:val="en-US"/>
              </w:rPr>
              <w:t>Program  incasari</w:t>
            </w:r>
          </w:p>
        </w:tc>
        <w:tc>
          <w:tcPr>
            <w:tcW w:w="1760" w:type="dxa"/>
            <w:tcBorders>
              <w:top w:val="nil"/>
              <w:left w:val="nil"/>
              <w:bottom w:val="nil"/>
              <w:right w:val="single" w:sz="4" w:space="0" w:color="000000"/>
            </w:tcBorders>
            <w:noWrap/>
            <w:vAlign w:val="center"/>
          </w:tcPr>
          <w:p w:rsidR="00E27E10" w:rsidRPr="008D5457" w:rsidRDefault="00E27E10" w:rsidP="008968F4">
            <w:pPr>
              <w:jc w:val="center"/>
              <w:rPr>
                <w:lang w:val="en-US"/>
              </w:rPr>
            </w:pPr>
            <w:r w:rsidRPr="008D5457">
              <w:rPr>
                <w:lang w:val="en-US"/>
              </w:rPr>
              <w:t xml:space="preserve">Realizari </w:t>
            </w:r>
          </w:p>
        </w:tc>
        <w:tc>
          <w:tcPr>
            <w:tcW w:w="3198" w:type="dxa"/>
            <w:tcBorders>
              <w:top w:val="nil"/>
              <w:left w:val="nil"/>
              <w:bottom w:val="nil"/>
              <w:right w:val="single" w:sz="8" w:space="0" w:color="auto"/>
            </w:tcBorders>
            <w:vAlign w:val="center"/>
          </w:tcPr>
          <w:p w:rsidR="00E27E10" w:rsidRPr="008D5457" w:rsidRDefault="00E27E10" w:rsidP="008968F4">
            <w:pPr>
              <w:jc w:val="center"/>
              <w:rPr>
                <w:lang w:val="en-US"/>
              </w:rPr>
            </w:pPr>
            <w:r w:rsidRPr="008D5457">
              <w:rPr>
                <w:lang w:val="en-US"/>
              </w:rPr>
              <w:t>Grad realizare program</w:t>
            </w:r>
          </w:p>
        </w:tc>
      </w:tr>
      <w:tr w:rsidR="00E27E10" w:rsidRPr="00232FD9">
        <w:trPr>
          <w:trHeight w:val="690"/>
          <w:jc w:val="center"/>
        </w:trPr>
        <w:tc>
          <w:tcPr>
            <w:tcW w:w="1857" w:type="dxa"/>
            <w:tcBorders>
              <w:top w:val="single" w:sz="8" w:space="0" w:color="auto"/>
              <w:left w:val="single" w:sz="8" w:space="0" w:color="auto"/>
              <w:bottom w:val="single" w:sz="8" w:space="0" w:color="auto"/>
              <w:right w:val="single" w:sz="4" w:space="0" w:color="000000"/>
            </w:tcBorders>
            <w:shd w:val="clear" w:color="auto" w:fill="FFFF99"/>
            <w:vAlign w:val="center"/>
          </w:tcPr>
          <w:p w:rsidR="00E27E10" w:rsidRPr="00232FD9" w:rsidRDefault="00E27E10" w:rsidP="008968F4">
            <w:pPr>
              <w:rPr>
                <w:b/>
                <w:bCs/>
              </w:rPr>
            </w:pPr>
            <w:r w:rsidRPr="00232FD9">
              <w:rPr>
                <w:b/>
                <w:bCs/>
              </w:rPr>
              <w:t>Bugetul de stat</w:t>
            </w:r>
          </w:p>
        </w:tc>
        <w:tc>
          <w:tcPr>
            <w:tcW w:w="2731" w:type="dxa"/>
            <w:tcBorders>
              <w:top w:val="single" w:sz="8" w:space="0" w:color="auto"/>
              <w:left w:val="nil"/>
              <w:bottom w:val="single" w:sz="8" w:space="0" w:color="auto"/>
              <w:right w:val="single" w:sz="4" w:space="0" w:color="000000"/>
            </w:tcBorders>
            <w:shd w:val="clear" w:color="auto" w:fill="FFFF99"/>
            <w:noWrap/>
            <w:vAlign w:val="center"/>
          </w:tcPr>
          <w:p w:rsidR="00E27E10" w:rsidRPr="00232FD9" w:rsidRDefault="00E27E10" w:rsidP="008968F4">
            <w:pPr>
              <w:jc w:val="right"/>
              <w:rPr>
                <w:b/>
                <w:bCs/>
              </w:rPr>
            </w:pPr>
            <w:r>
              <w:rPr>
                <w:b/>
                <w:bCs/>
              </w:rPr>
              <w:t>435,75</w:t>
            </w:r>
          </w:p>
        </w:tc>
        <w:tc>
          <w:tcPr>
            <w:tcW w:w="1760" w:type="dxa"/>
            <w:tcBorders>
              <w:top w:val="single" w:sz="8" w:space="0" w:color="auto"/>
              <w:left w:val="nil"/>
              <w:bottom w:val="single" w:sz="8" w:space="0" w:color="auto"/>
              <w:right w:val="single" w:sz="4" w:space="0" w:color="000000"/>
            </w:tcBorders>
            <w:shd w:val="clear" w:color="auto" w:fill="FFFF99"/>
            <w:noWrap/>
            <w:vAlign w:val="center"/>
          </w:tcPr>
          <w:p w:rsidR="00E27E10" w:rsidRPr="00232FD9" w:rsidRDefault="00E27E10" w:rsidP="008968F4">
            <w:pPr>
              <w:jc w:val="right"/>
              <w:rPr>
                <w:b/>
                <w:bCs/>
              </w:rPr>
            </w:pPr>
            <w:r>
              <w:rPr>
                <w:b/>
                <w:bCs/>
              </w:rPr>
              <w:t>466,83</w:t>
            </w:r>
          </w:p>
        </w:tc>
        <w:tc>
          <w:tcPr>
            <w:tcW w:w="3198" w:type="dxa"/>
            <w:tcBorders>
              <w:top w:val="single" w:sz="8" w:space="0" w:color="auto"/>
              <w:left w:val="nil"/>
              <w:bottom w:val="single" w:sz="8" w:space="0" w:color="auto"/>
              <w:right w:val="single" w:sz="8" w:space="0" w:color="auto"/>
            </w:tcBorders>
            <w:shd w:val="clear" w:color="auto" w:fill="FFFF99"/>
            <w:noWrap/>
            <w:vAlign w:val="center"/>
          </w:tcPr>
          <w:p w:rsidR="00E27E10" w:rsidRPr="00232FD9" w:rsidRDefault="00E27E10" w:rsidP="008968F4">
            <w:pPr>
              <w:jc w:val="center"/>
              <w:rPr>
                <w:b/>
                <w:bCs/>
                <w:i/>
                <w:iCs/>
              </w:rPr>
            </w:pPr>
            <w:r>
              <w:rPr>
                <w:b/>
                <w:bCs/>
                <w:i/>
                <w:iCs/>
              </w:rPr>
              <w:t>107,13%</w:t>
            </w:r>
          </w:p>
        </w:tc>
      </w:tr>
      <w:tr w:rsidR="00E27E10" w:rsidRPr="00232FD9" w:rsidTr="00D17A3E">
        <w:trPr>
          <w:trHeight w:val="490"/>
          <w:jc w:val="center"/>
        </w:trPr>
        <w:tc>
          <w:tcPr>
            <w:tcW w:w="1857" w:type="dxa"/>
            <w:tcBorders>
              <w:top w:val="nil"/>
              <w:left w:val="single" w:sz="8" w:space="0" w:color="auto"/>
              <w:bottom w:val="single" w:sz="4" w:space="0" w:color="000000"/>
              <w:right w:val="single" w:sz="4" w:space="0" w:color="000000"/>
            </w:tcBorders>
            <w:vAlign w:val="center"/>
          </w:tcPr>
          <w:p w:rsidR="00E27E10" w:rsidRPr="00232FD9" w:rsidRDefault="00E27E10" w:rsidP="008968F4">
            <w:r w:rsidRPr="00232FD9">
              <w:t>impozit profit</w:t>
            </w:r>
          </w:p>
        </w:tc>
        <w:tc>
          <w:tcPr>
            <w:tcW w:w="2731"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42,65</w:t>
            </w:r>
          </w:p>
        </w:tc>
        <w:tc>
          <w:tcPr>
            <w:tcW w:w="1760"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50,52</w:t>
            </w:r>
          </w:p>
        </w:tc>
        <w:tc>
          <w:tcPr>
            <w:tcW w:w="3198" w:type="dxa"/>
            <w:tcBorders>
              <w:top w:val="nil"/>
              <w:left w:val="nil"/>
              <w:bottom w:val="single" w:sz="4" w:space="0" w:color="000000"/>
              <w:right w:val="single" w:sz="8" w:space="0" w:color="auto"/>
            </w:tcBorders>
            <w:noWrap/>
            <w:vAlign w:val="center"/>
          </w:tcPr>
          <w:p w:rsidR="00E27E10" w:rsidRPr="00232FD9" w:rsidRDefault="00E27E10" w:rsidP="008968F4">
            <w:pPr>
              <w:jc w:val="center"/>
              <w:rPr>
                <w:b/>
                <w:bCs/>
                <w:i/>
                <w:iCs/>
              </w:rPr>
            </w:pPr>
            <w:r>
              <w:rPr>
                <w:b/>
                <w:bCs/>
                <w:i/>
                <w:iCs/>
              </w:rPr>
              <w:t>118,45%</w:t>
            </w:r>
          </w:p>
        </w:tc>
      </w:tr>
      <w:tr w:rsidR="00E27E10" w:rsidRPr="00232FD9" w:rsidTr="00D17A3E">
        <w:trPr>
          <w:trHeight w:val="490"/>
          <w:jc w:val="center"/>
        </w:trPr>
        <w:tc>
          <w:tcPr>
            <w:tcW w:w="1857" w:type="dxa"/>
            <w:tcBorders>
              <w:top w:val="nil"/>
              <w:left w:val="single" w:sz="8" w:space="0" w:color="auto"/>
              <w:bottom w:val="single" w:sz="4" w:space="0" w:color="000000"/>
              <w:right w:val="single" w:sz="4" w:space="0" w:color="000000"/>
            </w:tcBorders>
            <w:vAlign w:val="center"/>
          </w:tcPr>
          <w:p w:rsidR="00E27E10" w:rsidRPr="00232FD9" w:rsidRDefault="00E27E10" w:rsidP="008968F4">
            <w:r w:rsidRPr="00232FD9">
              <w:t>impozit venit</w:t>
            </w:r>
          </w:p>
        </w:tc>
        <w:tc>
          <w:tcPr>
            <w:tcW w:w="2731"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132,70</w:t>
            </w:r>
          </w:p>
        </w:tc>
        <w:tc>
          <w:tcPr>
            <w:tcW w:w="1760"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136,98</w:t>
            </w:r>
          </w:p>
        </w:tc>
        <w:tc>
          <w:tcPr>
            <w:tcW w:w="3198" w:type="dxa"/>
            <w:tcBorders>
              <w:top w:val="nil"/>
              <w:left w:val="nil"/>
              <w:bottom w:val="single" w:sz="4" w:space="0" w:color="000000"/>
              <w:right w:val="single" w:sz="8" w:space="0" w:color="auto"/>
            </w:tcBorders>
            <w:noWrap/>
            <w:vAlign w:val="center"/>
          </w:tcPr>
          <w:p w:rsidR="00E27E10" w:rsidRPr="00232FD9" w:rsidRDefault="00E27E10" w:rsidP="008968F4">
            <w:pPr>
              <w:jc w:val="center"/>
              <w:rPr>
                <w:b/>
                <w:bCs/>
                <w:i/>
                <w:iCs/>
              </w:rPr>
            </w:pPr>
            <w:r>
              <w:rPr>
                <w:b/>
                <w:bCs/>
                <w:i/>
                <w:iCs/>
              </w:rPr>
              <w:t>103,23%</w:t>
            </w:r>
          </w:p>
        </w:tc>
      </w:tr>
      <w:tr w:rsidR="00E27E10" w:rsidRPr="00232FD9" w:rsidTr="00D17A3E">
        <w:trPr>
          <w:trHeight w:val="490"/>
          <w:jc w:val="center"/>
        </w:trPr>
        <w:tc>
          <w:tcPr>
            <w:tcW w:w="1857" w:type="dxa"/>
            <w:tcBorders>
              <w:top w:val="nil"/>
              <w:left w:val="single" w:sz="8" w:space="0" w:color="auto"/>
              <w:bottom w:val="single" w:sz="4" w:space="0" w:color="000000"/>
              <w:right w:val="single" w:sz="4" w:space="0" w:color="000000"/>
            </w:tcBorders>
            <w:vAlign w:val="center"/>
          </w:tcPr>
          <w:p w:rsidR="00E27E10" w:rsidRPr="00232FD9" w:rsidRDefault="00E27E10" w:rsidP="008968F4">
            <w:r w:rsidRPr="00232FD9">
              <w:t>TVA</w:t>
            </w:r>
          </w:p>
        </w:tc>
        <w:tc>
          <w:tcPr>
            <w:tcW w:w="2731"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138,88</w:t>
            </w:r>
          </w:p>
        </w:tc>
        <w:tc>
          <w:tcPr>
            <w:tcW w:w="1760"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154,19</w:t>
            </w:r>
          </w:p>
        </w:tc>
        <w:tc>
          <w:tcPr>
            <w:tcW w:w="3198" w:type="dxa"/>
            <w:tcBorders>
              <w:top w:val="nil"/>
              <w:left w:val="nil"/>
              <w:bottom w:val="single" w:sz="4" w:space="0" w:color="000000"/>
              <w:right w:val="single" w:sz="8" w:space="0" w:color="auto"/>
            </w:tcBorders>
            <w:noWrap/>
            <w:vAlign w:val="center"/>
          </w:tcPr>
          <w:p w:rsidR="00E27E10" w:rsidRPr="00232FD9" w:rsidRDefault="00E27E10" w:rsidP="008968F4">
            <w:pPr>
              <w:jc w:val="center"/>
              <w:rPr>
                <w:b/>
                <w:bCs/>
                <w:i/>
                <w:iCs/>
              </w:rPr>
            </w:pPr>
            <w:r>
              <w:rPr>
                <w:b/>
                <w:bCs/>
                <w:i/>
                <w:iCs/>
              </w:rPr>
              <w:t>111,02%</w:t>
            </w:r>
          </w:p>
        </w:tc>
      </w:tr>
      <w:tr w:rsidR="00E27E10" w:rsidRPr="00232FD9" w:rsidTr="00D17A3E">
        <w:trPr>
          <w:trHeight w:val="490"/>
          <w:jc w:val="center"/>
        </w:trPr>
        <w:tc>
          <w:tcPr>
            <w:tcW w:w="1857" w:type="dxa"/>
            <w:tcBorders>
              <w:top w:val="nil"/>
              <w:left w:val="single" w:sz="8" w:space="0" w:color="auto"/>
              <w:bottom w:val="single" w:sz="4" w:space="0" w:color="000000"/>
              <w:right w:val="single" w:sz="4" w:space="0" w:color="000000"/>
            </w:tcBorders>
            <w:vAlign w:val="center"/>
          </w:tcPr>
          <w:p w:rsidR="00E27E10" w:rsidRPr="00232FD9" w:rsidRDefault="00E27E10" w:rsidP="008968F4">
            <w:r w:rsidRPr="00232FD9">
              <w:t>accize</w:t>
            </w:r>
          </w:p>
        </w:tc>
        <w:tc>
          <w:tcPr>
            <w:tcW w:w="2731"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0,02</w:t>
            </w:r>
          </w:p>
        </w:tc>
        <w:tc>
          <w:tcPr>
            <w:tcW w:w="1760" w:type="dxa"/>
            <w:tcBorders>
              <w:top w:val="nil"/>
              <w:left w:val="single" w:sz="8" w:space="0" w:color="000000"/>
              <w:bottom w:val="single" w:sz="4" w:space="0" w:color="000000"/>
              <w:right w:val="single" w:sz="4" w:space="0" w:color="000000"/>
            </w:tcBorders>
            <w:vAlign w:val="center"/>
          </w:tcPr>
          <w:p w:rsidR="00E27E10" w:rsidRPr="00232FD9" w:rsidRDefault="00E27E10" w:rsidP="00D17A3E">
            <w:pPr>
              <w:jc w:val="right"/>
            </w:pPr>
            <w:r>
              <w:t>0,08</w:t>
            </w:r>
          </w:p>
        </w:tc>
        <w:tc>
          <w:tcPr>
            <w:tcW w:w="3198" w:type="dxa"/>
            <w:tcBorders>
              <w:top w:val="nil"/>
              <w:left w:val="nil"/>
              <w:bottom w:val="single" w:sz="4" w:space="0" w:color="000000"/>
              <w:right w:val="single" w:sz="8" w:space="0" w:color="auto"/>
            </w:tcBorders>
            <w:noWrap/>
            <w:vAlign w:val="center"/>
          </w:tcPr>
          <w:p w:rsidR="00E27E10" w:rsidRPr="00232FD9" w:rsidRDefault="00E27E10" w:rsidP="008968F4">
            <w:pPr>
              <w:jc w:val="center"/>
              <w:rPr>
                <w:b/>
                <w:bCs/>
                <w:i/>
                <w:iCs/>
              </w:rPr>
            </w:pPr>
            <w:r>
              <w:rPr>
                <w:b/>
                <w:bCs/>
                <w:i/>
                <w:iCs/>
              </w:rPr>
              <w:t>400,00%</w:t>
            </w:r>
          </w:p>
        </w:tc>
      </w:tr>
      <w:tr w:rsidR="00E27E10" w:rsidRPr="00232FD9" w:rsidTr="00D17A3E">
        <w:trPr>
          <w:trHeight w:val="490"/>
          <w:jc w:val="center"/>
        </w:trPr>
        <w:tc>
          <w:tcPr>
            <w:tcW w:w="1857" w:type="dxa"/>
            <w:tcBorders>
              <w:top w:val="nil"/>
              <w:left w:val="single" w:sz="8" w:space="0" w:color="auto"/>
              <w:bottom w:val="single" w:sz="4" w:space="0" w:color="auto"/>
              <w:right w:val="single" w:sz="4" w:space="0" w:color="000000"/>
            </w:tcBorders>
            <w:vAlign w:val="center"/>
          </w:tcPr>
          <w:p w:rsidR="00E27E10" w:rsidRPr="00232FD9" w:rsidRDefault="00E27E10" w:rsidP="008968F4">
            <w:r w:rsidRPr="00232FD9">
              <w:t>rest venituri</w:t>
            </w:r>
          </w:p>
        </w:tc>
        <w:tc>
          <w:tcPr>
            <w:tcW w:w="2731" w:type="dxa"/>
            <w:tcBorders>
              <w:top w:val="nil"/>
              <w:left w:val="single" w:sz="8" w:space="0" w:color="000000"/>
              <w:bottom w:val="single" w:sz="4" w:space="0" w:color="auto"/>
              <w:right w:val="single" w:sz="4" w:space="0" w:color="000000"/>
            </w:tcBorders>
            <w:vAlign w:val="center"/>
          </w:tcPr>
          <w:p w:rsidR="00E27E10" w:rsidRPr="00232FD9" w:rsidRDefault="00E27E10" w:rsidP="00D17A3E">
            <w:pPr>
              <w:jc w:val="right"/>
            </w:pPr>
            <w:r>
              <w:t>121,50</w:t>
            </w:r>
          </w:p>
        </w:tc>
        <w:tc>
          <w:tcPr>
            <w:tcW w:w="1760" w:type="dxa"/>
            <w:tcBorders>
              <w:top w:val="nil"/>
              <w:left w:val="single" w:sz="8" w:space="0" w:color="000000"/>
              <w:bottom w:val="single" w:sz="4" w:space="0" w:color="auto"/>
              <w:right w:val="single" w:sz="4" w:space="0" w:color="000000"/>
            </w:tcBorders>
            <w:vAlign w:val="center"/>
          </w:tcPr>
          <w:p w:rsidR="00E27E10" w:rsidRPr="00232FD9" w:rsidRDefault="00E27E10" w:rsidP="00D17A3E">
            <w:pPr>
              <w:jc w:val="right"/>
            </w:pPr>
            <w:r>
              <w:t>125,06</w:t>
            </w:r>
          </w:p>
        </w:tc>
        <w:tc>
          <w:tcPr>
            <w:tcW w:w="3198" w:type="dxa"/>
            <w:tcBorders>
              <w:top w:val="nil"/>
              <w:left w:val="nil"/>
              <w:bottom w:val="single" w:sz="4" w:space="0" w:color="auto"/>
              <w:right w:val="single" w:sz="8" w:space="0" w:color="auto"/>
            </w:tcBorders>
            <w:noWrap/>
            <w:vAlign w:val="center"/>
          </w:tcPr>
          <w:p w:rsidR="00E27E10" w:rsidRPr="00232FD9" w:rsidRDefault="00E27E10" w:rsidP="008968F4">
            <w:pPr>
              <w:jc w:val="center"/>
              <w:rPr>
                <w:b/>
                <w:bCs/>
                <w:i/>
                <w:iCs/>
              </w:rPr>
            </w:pPr>
            <w:r>
              <w:rPr>
                <w:b/>
                <w:bCs/>
                <w:i/>
                <w:iCs/>
              </w:rPr>
              <w:t>102,93%</w:t>
            </w:r>
          </w:p>
        </w:tc>
      </w:tr>
    </w:tbl>
    <w:p w:rsidR="00E27E10" w:rsidRDefault="00E27E10" w:rsidP="00232FD9">
      <w:pPr>
        <w:ind w:left="1440"/>
        <w:jc w:val="both"/>
        <w:rPr>
          <w:sz w:val="28"/>
          <w:szCs w:val="28"/>
        </w:rPr>
      </w:pPr>
    </w:p>
    <w:p w:rsidR="00E27E10" w:rsidRDefault="00E27E10" w:rsidP="00232FD9">
      <w:pPr>
        <w:ind w:firstLine="720"/>
        <w:jc w:val="both"/>
        <w:rPr>
          <w:sz w:val="26"/>
          <w:szCs w:val="26"/>
        </w:rPr>
      </w:pPr>
    </w:p>
    <w:p w:rsidR="00E27E10" w:rsidRDefault="00E27E10" w:rsidP="00232FD9">
      <w:pPr>
        <w:ind w:firstLine="720"/>
        <w:jc w:val="both"/>
        <w:rPr>
          <w:sz w:val="26"/>
          <w:szCs w:val="26"/>
        </w:rPr>
      </w:pPr>
    </w:p>
    <w:p w:rsidR="00E27E10" w:rsidRPr="00D17A3E" w:rsidRDefault="00E27E10" w:rsidP="00232FD9">
      <w:pPr>
        <w:ind w:firstLine="720"/>
        <w:jc w:val="both"/>
        <w:rPr>
          <w:sz w:val="26"/>
          <w:szCs w:val="26"/>
        </w:rPr>
      </w:pPr>
      <w:r w:rsidRPr="00D17A3E">
        <w:rPr>
          <w:sz w:val="26"/>
          <w:szCs w:val="26"/>
        </w:rPr>
        <w:t>În cadrul bugetului de stat ponderea cea mai mare a încasărilor a fost la impozitul pe venit şi la  TVA , acestea reprezentând 62,37% din totalul realizărilor.</w:t>
      </w:r>
    </w:p>
    <w:p w:rsidR="00E27E10" w:rsidRDefault="00E27E10" w:rsidP="00232FD9">
      <w:pPr>
        <w:ind w:firstLine="720"/>
        <w:jc w:val="both"/>
        <w:rPr>
          <w:sz w:val="26"/>
          <w:szCs w:val="26"/>
        </w:rPr>
      </w:pPr>
      <w:r w:rsidRPr="00D17A3E">
        <w:rPr>
          <w:sz w:val="26"/>
          <w:szCs w:val="26"/>
        </w:rPr>
        <w:t>Structura bugetului de stat pe surse de provenienţă în semestrul I 2021, se prezintă grafic,  astfel:</w:t>
      </w:r>
    </w:p>
    <w:p w:rsidR="00E27E10" w:rsidRDefault="00E27E10" w:rsidP="00232FD9">
      <w:pPr>
        <w:ind w:firstLine="720"/>
        <w:jc w:val="both"/>
        <w:rPr>
          <w:sz w:val="26"/>
          <w:szCs w:val="26"/>
        </w:rPr>
      </w:pPr>
    </w:p>
    <w:p w:rsidR="00E27E10" w:rsidRPr="00D17A3E" w:rsidRDefault="00E27E10" w:rsidP="00232FD9">
      <w:pPr>
        <w:ind w:firstLine="720"/>
        <w:jc w:val="both"/>
        <w:rPr>
          <w:sz w:val="26"/>
          <w:szCs w:val="26"/>
        </w:rPr>
      </w:pPr>
    </w:p>
    <w:p w:rsidR="00E27E10" w:rsidRPr="003145B1" w:rsidRDefault="00B00F22" w:rsidP="00D17A3E">
      <w:pPr>
        <w:jc w:val="center"/>
      </w:pPr>
      <w:r>
        <w:rPr>
          <w:noProof/>
          <w:sz w:val="26"/>
          <w:szCs w:val="26"/>
          <w:lang w:val="en-US"/>
        </w:rPr>
        <w:drawing>
          <wp:inline distT="0" distB="0" distL="0" distR="0">
            <wp:extent cx="426720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3067050"/>
                    </a:xfrm>
                    <a:prstGeom prst="rect">
                      <a:avLst/>
                    </a:prstGeom>
                    <a:noFill/>
                    <a:ln>
                      <a:noFill/>
                    </a:ln>
                  </pic:spPr>
                </pic:pic>
              </a:graphicData>
            </a:graphic>
          </wp:inline>
        </w:drawing>
      </w:r>
    </w:p>
    <w:p w:rsidR="00E27E10" w:rsidRPr="00BF722A" w:rsidRDefault="00E27E10" w:rsidP="00232FD9">
      <w:pPr>
        <w:ind w:firstLine="720"/>
        <w:jc w:val="center"/>
      </w:pPr>
    </w:p>
    <w:p w:rsidR="00E27E10" w:rsidRPr="00D17A3E" w:rsidRDefault="00E27E10" w:rsidP="00232FD9">
      <w:pPr>
        <w:ind w:firstLine="720"/>
        <w:jc w:val="both"/>
        <w:rPr>
          <w:b/>
          <w:bCs/>
          <w:sz w:val="26"/>
          <w:szCs w:val="26"/>
        </w:rPr>
      </w:pPr>
      <w:r w:rsidRPr="00D17A3E">
        <w:rPr>
          <w:sz w:val="26"/>
          <w:szCs w:val="26"/>
        </w:rPr>
        <w:lastRenderedPageBreak/>
        <w:t>Evoluţia lunară a încasărilor nete la bugetul general consolidat în semestrul I 2021 se prezintă astfel:</w:t>
      </w:r>
      <w:r w:rsidRPr="00D17A3E">
        <w:rPr>
          <w:b/>
          <w:bCs/>
          <w:sz w:val="26"/>
          <w:szCs w:val="26"/>
        </w:rPr>
        <w:t xml:space="preserve">                                                                                                     </w:t>
      </w:r>
    </w:p>
    <w:p w:rsidR="00E27E10" w:rsidRPr="005A00FD" w:rsidRDefault="00E27E10" w:rsidP="00232FD9">
      <w:pPr>
        <w:ind w:left="8640"/>
        <w:rPr>
          <w:lang w:val="en-US"/>
        </w:rPr>
      </w:pPr>
      <w:r w:rsidRPr="001F64A8">
        <w:rPr>
          <w:b/>
          <w:bCs/>
        </w:rPr>
        <w:t xml:space="preserve">                                                                                                                      </w:t>
      </w:r>
      <w:r>
        <w:rPr>
          <w:b/>
          <w:bCs/>
        </w:rPr>
        <w:t xml:space="preserve">                        </w:t>
      </w:r>
      <w:r w:rsidRPr="005A00FD">
        <w:rPr>
          <w:lang w:val="en-US"/>
        </w:rPr>
        <w:t>~mil. lei~</w:t>
      </w:r>
    </w:p>
    <w:tbl>
      <w:tblPr>
        <w:tblW w:w="9455" w:type="dxa"/>
        <w:jc w:val="center"/>
        <w:tblLook w:val="0000" w:firstRow="0" w:lastRow="0" w:firstColumn="0" w:lastColumn="0" w:noHBand="0" w:noVBand="0"/>
      </w:tblPr>
      <w:tblGrid>
        <w:gridCol w:w="2416"/>
        <w:gridCol w:w="1176"/>
        <w:gridCol w:w="1243"/>
        <w:gridCol w:w="1168"/>
        <w:gridCol w:w="1168"/>
        <w:gridCol w:w="1168"/>
        <w:gridCol w:w="1116"/>
      </w:tblGrid>
      <w:tr w:rsidR="00E27E10" w:rsidRPr="00274FAB">
        <w:trPr>
          <w:trHeight w:val="276"/>
          <w:jc w:val="center"/>
        </w:trPr>
        <w:tc>
          <w:tcPr>
            <w:tcW w:w="2416" w:type="dxa"/>
            <w:vMerge w:val="restart"/>
            <w:tcBorders>
              <w:top w:val="single" w:sz="8" w:space="0" w:color="auto"/>
              <w:left w:val="single" w:sz="8" w:space="0" w:color="auto"/>
              <w:bottom w:val="single" w:sz="8" w:space="0" w:color="000000"/>
              <w:right w:val="single" w:sz="8" w:space="0" w:color="auto"/>
            </w:tcBorders>
            <w:shd w:val="clear" w:color="auto" w:fill="FFFF99"/>
            <w:vAlign w:val="bottom"/>
          </w:tcPr>
          <w:p w:rsidR="00E27E10" w:rsidRPr="008D5457" w:rsidRDefault="00E27E10" w:rsidP="008968F4">
            <w:pPr>
              <w:jc w:val="center"/>
              <w:rPr>
                <w:lang w:val="en-US"/>
              </w:rPr>
            </w:pPr>
            <w:r w:rsidRPr="008D5457">
              <w:t>INDICATORI</w:t>
            </w:r>
          </w:p>
        </w:tc>
        <w:tc>
          <w:tcPr>
            <w:tcW w:w="7039" w:type="dxa"/>
            <w:gridSpan w:val="6"/>
            <w:vMerge w:val="restart"/>
            <w:tcBorders>
              <w:top w:val="single" w:sz="8" w:space="0" w:color="auto"/>
              <w:left w:val="single" w:sz="8" w:space="0" w:color="auto"/>
              <w:bottom w:val="single" w:sz="8" w:space="0" w:color="000000"/>
              <w:right w:val="single" w:sz="8" w:space="0" w:color="000000"/>
            </w:tcBorders>
            <w:shd w:val="clear" w:color="auto" w:fill="FFFF99"/>
            <w:vAlign w:val="bottom"/>
          </w:tcPr>
          <w:p w:rsidR="00E27E10" w:rsidRPr="008D5457" w:rsidRDefault="00E27E10" w:rsidP="008968F4">
            <w:pPr>
              <w:jc w:val="center"/>
              <w:rPr>
                <w:lang w:val="en-US"/>
              </w:rPr>
            </w:pPr>
            <w:r w:rsidRPr="008D5457">
              <w:t>SEMESTRUL I  2021</w:t>
            </w:r>
          </w:p>
        </w:tc>
      </w:tr>
      <w:tr w:rsidR="00E27E10" w:rsidRPr="00274FAB">
        <w:trPr>
          <w:trHeight w:val="276"/>
          <w:jc w:val="center"/>
        </w:trPr>
        <w:tc>
          <w:tcPr>
            <w:tcW w:w="2416" w:type="dxa"/>
            <w:vMerge/>
            <w:tcBorders>
              <w:top w:val="single" w:sz="8" w:space="0" w:color="auto"/>
              <w:left w:val="single" w:sz="8" w:space="0" w:color="auto"/>
              <w:bottom w:val="single" w:sz="8" w:space="0" w:color="000000"/>
              <w:right w:val="single" w:sz="8" w:space="0" w:color="auto"/>
            </w:tcBorders>
            <w:vAlign w:val="center"/>
          </w:tcPr>
          <w:p w:rsidR="00E27E10" w:rsidRPr="008D5457" w:rsidRDefault="00E27E10" w:rsidP="008968F4">
            <w:pPr>
              <w:rPr>
                <w:lang w:val="en-US"/>
              </w:rPr>
            </w:pPr>
          </w:p>
        </w:tc>
        <w:tc>
          <w:tcPr>
            <w:tcW w:w="7039" w:type="dxa"/>
            <w:gridSpan w:val="6"/>
            <w:vMerge/>
            <w:tcBorders>
              <w:top w:val="single" w:sz="8" w:space="0" w:color="auto"/>
              <w:left w:val="single" w:sz="8" w:space="0" w:color="auto"/>
              <w:bottom w:val="single" w:sz="8" w:space="0" w:color="000000"/>
              <w:right w:val="single" w:sz="8" w:space="0" w:color="000000"/>
            </w:tcBorders>
            <w:vAlign w:val="center"/>
          </w:tcPr>
          <w:p w:rsidR="00E27E10" w:rsidRPr="008D5457" w:rsidRDefault="00E27E10" w:rsidP="008968F4">
            <w:pPr>
              <w:rPr>
                <w:lang w:val="en-US"/>
              </w:rPr>
            </w:pPr>
          </w:p>
        </w:tc>
      </w:tr>
      <w:tr w:rsidR="00E27E10" w:rsidRPr="00274FAB">
        <w:trPr>
          <w:trHeight w:val="600"/>
          <w:jc w:val="center"/>
        </w:trPr>
        <w:tc>
          <w:tcPr>
            <w:tcW w:w="2416" w:type="dxa"/>
            <w:vMerge/>
            <w:tcBorders>
              <w:top w:val="single" w:sz="8" w:space="0" w:color="auto"/>
              <w:left w:val="single" w:sz="8" w:space="0" w:color="auto"/>
              <w:bottom w:val="single" w:sz="8" w:space="0" w:color="000000"/>
              <w:right w:val="single" w:sz="8" w:space="0" w:color="auto"/>
            </w:tcBorders>
            <w:vAlign w:val="center"/>
          </w:tcPr>
          <w:p w:rsidR="00E27E10" w:rsidRPr="008D5457" w:rsidRDefault="00E27E10" w:rsidP="008968F4">
            <w:pPr>
              <w:rPr>
                <w:lang w:val="en-US"/>
              </w:rPr>
            </w:pPr>
          </w:p>
        </w:tc>
        <w:tc>
          <w:tcPr>
            <w:tcW w:w="1176"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t>Ianuarie</w:t>
            </w:r>
          </w:p>
        </w:tc>
        <w:tc>
          <w:tcPr>
            <w:tcW w:w="1243"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t>Februarie</w:t>
            </w:r>
          </w:p>
        </w:tc>
        <w:tc>
          <w:tcPr>
            <w:tcW w:w="1168"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t>Martie</w:t>
            </w:r>
          </w:p>
        </w:tc>
        <w:tc>
          <w:tcPr>
            <w:tcW w:w="1168"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t>Aprilie</w:t>
            </w:r>
          </w:p>
        </w:tc>
        <w:tc>
          <w:tcPr>
            <w:tcW w:w="1168"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t>Mai</w:t>
            </w:r>
          </w:p>
        </w:tc>
        <w:tc>
          <w:tcPr>
            <w:tcW w:w="1116"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t>Iunie</w:t>
            </w:r>
          </w:p>
        </w:tc>
      </w:tr>
      <w:tr w:rsidR="00E27E10" w:rsidRPr="00274FAB" w:rsidTr="005A00FD">
        <w:trPr>
          <w:trHeight w:val="570"/>
          <w:jc w:val="center"/>
        </w:trPr>
        <w:tc>
          <w:tcPr>
            <w:tcW w:w="2416" w:type="dxa"/>
            <w:tcBorders>
              <w:top w:val="nil"/>
              <w:left w:val="single" w:sz="8" w:space="0" w:color="auto"/>
              <w:bottom w:val="single" w:sz="8" w:space="0" w:color="auto"/>
              <w:right w:val="single" w:sz="8" w:space="0" w:color="auto"/>
            </w:tcBorders>
            <w:vAlign w:val="bottom"/>
          </w:tcPr>
          <w:p w:rsidR="00E27E10" w:rsidRPr="008D5457" w:rsidRDefault="00E27E10" w:rsidP="008968F4">
            <w:pPr>
              <w:jc w:val="center"/>
              <w:rPr>
                <w:lang w:val="en-US"/>
              </w:rPr>
            </w:pPr>
            <w:r w:rsidRPr="008D5457">
              <w:t>PROGRAM</w:t>
            </w:r>
          </w:p>
        </w:tc>
        <w:tc>
          <w:tcPr>
            <w:tcW w:w="1176"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192,81</w:t>
            </w:r>
          </w:p>
        </w:tc>
        <w:tc>
          <w:tcPr>
            <w:tcW w:w="1243"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162,20</w:t>
            </w:r>
          </w:p>
        </w:tc>
        <w:tc>
          <w:tcPr>
            <w:tcW w:w="1168"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173,91</w:t>
            </w:r>
          </w:p>
        </w:tc>
        <w:tc>
          <w:tcPr>
            <w:tcW w:w="1168"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161,10</w:t>
            </w:r>
          </w:p>
        </w:tc>
        <w:tc>
          <w:tcPr>
            <w:tcW w:w="1168"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173,93</w:t>
            </w:r>
          </w:p>
        </w:tc>
        <w:tc>
          <w:tcPr>
            <w:tcW w:w="1116"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156,75</w:t>
            </w:r>
          </w:p>
        </w:tc>
      </w:tr>
      <w:tr w:rsidR="00E27E10" w:rsidRPr="00274FAB" w:rsidTr="005A00FD">
        <w:trPr>
          <w:trHeight w:val="570"/>
          <w:jc w:val="center"/>
        </w:trPr>
        <w:tc>
          <w:tcPr>
            <w:tcW w:w="2416" w:type="dxa"/>
            <w:tcBorders>
              <w:top w:val="nil"/>
              <w:left w:val="single" w:sz="8" w:space="0" w:color="auto"/>
              <w:bottom w:val="single" w:sz="8" w:space="0" w:color="auto"/>
              <w:right w:val="single" w:sz="8" w:space="0" w:color="auto"/>
            </w:tcBorders>
            <w:vAlign w:val="bottom"/>
          </w:tcPr>
          <w:p w:rsidR="00E27E10" w:rsidRPr="008D5457" w:rsidRDefault="00E27E10" w:rsidP="008968F4">
            <w:pPr>
              <w:jc w:val="center"/>
              <w:rPr>
                <w:lang w:val="en-US"/>
              </w:rPr>
            </w:pPr>
            <w:r w:rsidRPr="008D5457">
              <w:t xml:space="preserve">  REALIZAT</w:t>
            </w:r>
          </w:p>
        </w:tc>
        <w:tc>
          <w:tcPr>
            <w:tcW w:w="1176"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192,81</w:t>
            </w:r>
          </w:p>
        </w:tc>
        <w:tc>
          <w:tcPr>
            <w:tcW w:w="1243"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162,21</w:t>
            </w:r>
          </w:p>
        </w:tc>
        <w:tc>
          <w:tcPr>
            <w:tcW w:w="1168"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184,86</w:t>
            </w:r>
          </w:p>
        </w:tc>
        <w:tc>
          <w:tcPr>
            <w:tcW w:w="1168"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187,91</w:t>
            </w:r>
          </w:p>
        </w:tc>
        <w:tc>
          <w:tcPr>
            <w:tcW w:w="1168"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186,03</w:t>
            </w:r>
          </w:p>
        </w:tc>
        <w:tc>
          <w:tcPr>
            <w:tcW w:w="1116" w:type="dxa"/>
            <w:tcBorders>
              <w:top w:val="nil"/>
              <w:left w:val="nil"/>
              <w:bottom w:val="single" w:sz="8" w:space="0" w:color="auto"/>
              <w:right w:val="single" w:sz="8" w:space="0" w:color="auto"/>
            </w:tcBorders>
            <w:vAlign w:val="bottom"/>
          </w:tcPr>
          <w:p w:rsidR="00E27E10" w:rsidRPr="008D5457" w:rsidRDefault="00E27E10" w:rsidP="008968F4">
            <w:pPr>
              <w:jc w:val="center"/>
              <w:rPr>
                <w:lang w:val="en-US"/>
              </w:rPr>
            </w:pPr>
            <w:r w:rsidRPr="008D5457">
              <w:rPr>
                <w:lang w:val="en-US"/>
              </w:rPr>
              <w:t>175,74</w:t>
            </w:r>
          </w:p>
        </w:tc>
      </w:tr>
      <w:tr w:rsidR="00E27E10" w:rsidRPr="00274FAB">
        <w:trPr>
          <w:trHeight w:val="675"/>
          <w:jc w:val="center"/>
        </w:trPr>
        <w:tc>
          <w:tcPr>
            <w:tcW w:w="2416" w:type="dxa"/>
            <w:tcBorders>
              <w:top w:val="nil"/>
              <w:left w:val="single" w:sz="8" w:space="0" w:color="auto"/>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t>Grad realizare</w:t>
            </w:r>
          </w:p>
        </w:tc>
        <w:tc>
          <w:tcPr>
            <w:tcW w:w="1176"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rPr>
                <w:lang w:val="en-US"/>
              </w:rPr>
              <w:t>100,00%</w:t>
            </w:r>
          </w:p>
        </w:tc>
        <w:tc>
          <w:tcPr>
            <w:tcW w:w="1243"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rPr>
                <w:lang w:val="en-US"/>
              </w:rPr>
              <w:t>100,01%</w:t>
            </w:r>
          </w:p>
        </w:tc>
        <w:tc>
          <w:tcPr>
            <w:tcW w:w="1168"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rPr>
                <w:lang w:val="en-US"/>
              </w:rPr>
              <w:t>106,30%</w:t>
            </w:r>
          </w:p>
        </w:tc>
        <w:tc>
          <w:tcPr>
            <w:tcW w:w="1168"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rPr>
                <w:lang w:val="en-US"/>
              </w:rPr>
              <w:t>116,64%</w:t>
            </w:r>
          </w:p>
        </w:tc>
        <w:tc>
          <w:tcPr>
            <w:tcW w:w="1168"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rPr>
                <w:lang w:val="en-US"/>
              </w:rPr>
              <w:t>106,96%</w:t>
            </w:r>
          </w:p>
        </w:tc>
        <w:tc>
          <w:tcPr>
            <w:tcW w:w="1116" w:type="dxa"/>
            <w:tcBorders>
              <w:top w:val="nil"/>
              <w:left w:val="nil"/>
              <w:bottom w:val="single" w:sz="8" w:space="0" w:color="auto"/>
              <w:right w:val="single" w:sz="8" w:space="0" w:color="auto"/>
            </w:tcBorders>
            <w:shd w:val="clear" w:color="auto" w:fill="FFFF99"/>
            <w:vAlign w:val="bottom"/>
          </w:tcPr>
          <w:p w:rsidR="00E27E10" w:rsidRPr="008D5457" w:rsidRDefault="00E27E10" w:rsidP="008968F4">
            <w:pPr>
              <w:jc w:val="center"/>
              <w:rPr>
                <w:lang w:val="en-US"/>
              </w:rPr>
            </w:pPr>
            <w:r w:rsidRPr="008D5457">
              <w:rPr>
                <w:lang w:val="en-US"/>
              </w:rPr>
              <w:t>112,12%</w:t>
            </w:r>
          </w:p>
        </w:tc>
      </w:tr>
    </w:tbl>
    <w:p w:rsidR="00E27E10" w:rsidRDefault="00E27E10" w:rsidP="00232FD9">
      <w:pPr>
        <w:ind w:firstLine="720"/>
        <w:jc w:val="both"/>
        <w:rPr>
          <w:lang w:val="it-IT"/>
        </w:rPr>
      </w:pPr>
    </w:p>
    <w:p w:rsidR="00E27E10" w:rsidRPr="00D17A3E" w:rsidRDefault="00E27E10" w:rsidP="00232FD9">
      <w:pPr>
        <w:ind w:firstLine="720"/>
        <w:jc w:val="both"/>
        <w:rPr>
          <w:sz w:val="26"/>
          <w:szCs w:val="26"/>
          <w:lang w:val="it-IT"/>
        </w:rPr>
      </w:pPr>
      <w:r w:rsidRPr="00D17A3E">
        <w:rPr>
          <w:sz w:val="26"/>
          <w:szCs w:val="26"/>
          <w:lang w:val="it-IT"/>
        </w:rPr>
        <w:t>Comparativ cu  realizările semestrului I 2020 încasarile din primele 6 luni ale anului 2021 au crescut cu 20,88%.  Situaţia se prezintă astfel:</w:t>
      </w:r>
    </w:p>
    <w:p w:rsidR="00E27E10" w:rsidRDefault="00E27E10" w:rsidP="00232FD9">
      <w:pPr>
        <w:ind w:left="1800"/>
        <w:jc w:val="both"/>
        <w:rPr>
          <w:sz w:val="28"/>
          <w:szCs w:val="28"/>
        </w:rPr>
      </w:pPr>
      <w:r w:rsidRPr="00CC05C8">
        <w:rPr>
          <w:sz w:val="28"/>
          <w:szCs w:val="28"/>
          <w:lang w:val="it-IT"/>
        </w:rPr>
        <w:t xml:space="preserve">                                                                                           </w:t>
      </w:r>
      <w:r>
        <w:rPr>
          <w:sz w:val="28"/>
          <w:szCs w:val="28"/>
        </w:rPr>
        <w:t>- mil .lei-</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080"/>
        <w:gridCol w:w="2080"/>
        <w:gridCol w:w="1922"/>
      </w:tblGrid>
      <w:tr w:rsidR="00E27E10" w:rsidRPr="00C92CC3" w:rsidTr="005A00FD">
        <w:trPr>
          <w:trHeight w:val="386"/>
          <w:jc w:val="center"/>
        </w:trPr>
        <w:tc>
          <w:tcPr>
            <w:tcW w:w="3549" w:type="dxa"/>
            <w:vMerge w:val="restart"/>
            <w:shd w:val="clear" w:color="auto" w:fill="CCFFCC"/>
            <w:vAlign w:val="center"/>
          </w:tcPr>
          <w:p w:rsidR="00E27E10" w:rsidRPr="005A00FD" w:rsidRDefault="00E27E10" w:rsidP="005A00FD">
            <w:pPr>
              <w:jc w:val="center"/>
              <w:rPr>
                <w:lang w:val="en-US"/>
              </w:rPr>
            </w:pPr>
            <w:r w:rsidRPr="005A00FD">
              <w:rPr>
                <w:lang w:val="en-US"/>
              </w:rPr>
              <w:t>INDICATORI</w:t>
            </w:r>
          </w:p>
        </w:tc>
        <w:tc>
          <w:tcPr>
            <w:tcW w:w="6082" w:type="dxa"/>
            <w:gridSpan w:val="3"/>
            <w:shd w:val="clear" w:color="auto" w:fill="CCFFCC"/>
            <w:vAlign w:val="bottom"/>
          </w:tcPr>
          <w:p w:rsidR="00E27E10" w:rsidRDefault="00E27E10" w:rsidP="008968F4">
            <w:pPr>
              <w:jc w:val="center"/>
              <w:rPr>
                <w:lang w:val="en-US"/>
              </w:rPr>
            </w:pPr>
            <w:r w:rsidRPr="005A00FD">
              <w:rPr>
                <w:lang w:val="en-US"/>
              </w:rPr>
              <w:t xml:space="preserve">Realizari semestrul I </w:t>
            </w:r>
          </w:p>
          <w:p w:rsidR="00E27E10" w:rsidRPr="005A00FD" w:rsidRDefault="00E27E10" w:rsidP="008968F4">
            <w:pPr>
              <w:jc w:val="center"/>
              <w:rPr>
                <w:lang w:val="en-US"/>
              </w:rPr>
            </w:pPr>
            <w:r w:rsidRPr="005A00FD">
              <w:rPr>
                <w:lang w:val="en-US"/>
              </w:rPr>
              <w:t xml:space="preserve">  2021/2020</w:t>
            </w:r>
          </w:p>
        </w:tc>
      </w:tr>
      <w:tr w:rsidR="00E27E10" w:rsidRPr="00C92CC3">
        <w:trPr>
          <w:trHeight w:val="525"/>
          <w:jc w:val="center"/>
        </w:trPr>
        <w:tc>
          <w:tcPr>
            <w:tcW w:w="3549" w:type="dxa"/>
            <w:vMerge/>
            <w:vAlign w:val="center"/>
          </w:tcPr>
          <w:p w:rsidR="00E27E10" w:rsidRPr="005A00FD" w:rsidRDefault="00E27E10" w:rsidP="008968F4">
            <w:pPr>
              <w:rPr>
                <w:lang w:val="en-US"/>
              </w:rPr>
            </w:pPr>
          </w:p>
        </w:tc>
        <w:tc>
          <w:tcPr>
            <w:tcW w:w="2080" w:type="dxa"/>
            <w:shd w:val="clear" w:color="auto" w:fill="CCFFCC"/>
            <w:vAlign w:val="bottom"/>
          </w:tcPr>
          <w:p w:rsidR="00E27E10" w:rsidRPr="005A00FD" w:rsidRDefault="00E27E10" w:rsidP="00B808DD">
            <w:pPr>
              <w:jc w:val="center"/>
              <w:rPr>
                <w:lang w:val="en-US"/>
              </w:rPr>
            </w:pPr>
            <w:r w:rsidRPr="005A00FD">
              <w:rPr>
                <w:lang w:val="en-US"/>
              </w:rPr>
              <w:t>Realizari semestrul I 2020</w:t>
            </w:r>
          </w:p>
        </w:tc>
        <w:tc>
          <w:tcPr>
            <w:tcW w:w="2080" w:type="dxa"/>
            <w:shd w:val="clear" w:color="auto" w:fill="CCFFCC"/>
            <w:vAlign w:val="bottom"/>
          </w:tcPr>
          <w:p w:rsidR="00E27E10" w:rsidRPr="005A00FD" w:rsidRDefault="00E27E10" w:rsidP="008968F4">
            <w:pPr>
              <w:jc w:val="center"/>
              <w:rPr>
                <w:lang w:val="en-US"/>
              </w:rPr>
            </w:pPr>
            <w:r w:rsidRPr="005A00FD">
              <w:rPr>
                <w:lang w:val="en-US"/>
              </w:rPr>
              <w:t>Realizari semestrul I 2021</w:t>
            </w:r>
          </w:p>
        </w:tc>
        <w:tc>
          <w:tcPr>
            <w:tcW w:w="1922" w:type="dxa"/>
            <w:shd w:val="clear" w:color="auto" w:fill="CCFFCC"/>
            <w:vAlign w:val="bottom"/>
          </w:tcPr>
          <w:p w:rsidR="00E27E10" w:rsidRPr="005A00FD" w:rsidRDefault="00E27E10" w:rsidP="008968F4">
            <w:pPr>
              <w:jc w:val="center"/>
              <w:rPr>
                <w:lang w:val="en-US"/>
              </w:rPr>
            </w:pPr>
            <w:r w:rsidRPr="005A00FD">
              <w:rPr>
                <w:lang w:val="en-US"/>
              </w:rPr>
              <w:t xml:space="preserve">%   </w:t>
            </w:r>
          </w:p>
          <w:p w:rsidR="00E27E10" w:rsidRPr="005A00FD" w:rsidRDefault="00E27E10" w:rsidP="008968F4">
            <w:pPr>
              <w:jc w:val="center"/>
              <w:rPr>
                <w:lang w:val="en-US"/>
              </w:rPr>
            </w:pPr>
            <w:r w:rsidRPr="005A00FD">
              <w:rPr>
                <w:lang w:val="en-US"/>
              </w:rPr>
              <w:t>2021/2020</w:t>
            </w:r>
          </w:p>
        </w:tc>
      </w:tr>
      <w:tr w:rsidR="00E27E10" w:rsidRPr="00C92CC3">
        <w:trPr>
          <w:trHeight w:val="440"/>
          <w:jc w:val="center"/>
        </w:trPr>
        <w:tc>
          <w:tcPr>
            <w:tcW w:w="3549" w:type="dxa"/>
            <w:vAlign w:val="bottom"/>
          </w:tcPr>
          <w:p w:rsidR="00E27E10" w:rsidRPr="00C92CC3" w:rsidRDefault="00E27E10" w:rsidP="008968F4">
            <w:pPr>
              <w:rPr>
                <w:lang w:val="en-US"/>
              </w:rPr>
            </w:pPr>
            <w:r w:rsidRPr="00C92CC3">
              <w:rPr>
                <w:lang w:val="en-US"/>
              </w:rPr>
              <w:t>Bugetul de stat</w:t>
            </w:r>
          </w:p>
        </w:tc>
        <w:tc>
          <w:tcPr>
            <w:tcW w:w="2080" w:type="dxa"/>
            <w:vAlign w:val="center"/>
          </w:tcPr>
          <w:p w:rsidR="00E27E10" w:rsidRPr="00C92CC3" w:rsidRDefault="00E27E10" w:rsidP="00B808DD">
            <w:pPr>
              <w:jc w:val="right"/>
              <w:rPr>
                <w:lang w:val="en-US"/>
              </w:rPr>
            </w:pPr>
            <w:r>
              <w:rPr>
                <w:lang w:val="en-US"/>
              </w:rPr>
              <w:t>360,49</w:t>
            </w:r>
          </w:p>
        </w:tc>
        <w:tc>
          <w:tcPr>
            <w:tcW w:w="2080" w:type="dxa"/>
            <w:vAlign w:val="center"/>
          </w:tcPr>
          <w:p w:rsidR="00E27E10" w:rsidRPr="00604B04" w:rsidRDefault="00E27E10" w:rsidP="00604B04">
            <w:pPr>
              <w:jc w:val="right"/>
              <w:rPr>
                <w:lang w:val="en-US"/>
              </w:rPr>
            </w:pPr>
            <w:r w:rsidRPr="00604B04">
              <w:rPr>
                <w:lang w:val="en-US"/>
              </w:rPr>
              <w:t>466,83</w:t>
            </w:r>
          </w:p>
        </w:tc>
        <w:tc>
          <w:tcPr>
            <w:tcW w:w="1922" w:type="dxa"/>
            <w:noWrap/>
            <w:vAlign w:val="center"/>
          </w:tcPr>
          <w:p w:rsidR="00E27E10" w:rsidRPr="00C92CC3" w:rsidRDefault="00E27E10" w:rsidP="008968F4">
            <w:pPr>
              <w:jc w:val="center"/>
              <w:rPr>
                <w:b/>
                <w:bCs/>
                <w:i/>
                <w:iCs/>
                <w:lang w:val="en-US"/>
              </w:rPr>
            </w:pPr>
            <w:r>
              <w:rPr>
                <w:b/>
                <w:bCs/>
                <w:i/>
                <w:iCs/>
                <w:lang w:val="en-US"/>
              </w:rPr>
              <w:t>129,50%</w:t>
            </w:r>
          </w:p>
        </w:tc>
      </w:tr>
      <w:tr w:rsidR="00E27E10" w:rsidRPr="00C92CC3">
        <w:trPr>
          <w:trHeight w:val="615"/>
          <w:jc w:val="center"/>
        </w:trPr>
        <w:tc>
          <w:tcPr>
            <w:tcW w:w="3549" w:type="dxa"/>
            <w:vAlign w:val="bottom"/>
          </w:tcPr>
          <w:p w:rsidR="00E27E10" w:rsidRPr="00BF722A" w:rsidRDefault="00E27E10" w:rsidP="008968F4">
            <w:pPr>
              <w:rPr>
                <w:lang w:val="pt-BR"/>
              </w:rPr>
            </w:pPr>
            <w:r w:rsidRPr="00BF722A">
              <w:rPr>
                <w:lang w:val="pt-BR"/>
              </w:rPr>
              <w:t>Bugetul asigurarilor sociale de stat</w:t>
            </w:r>
          </w:p>
        </w:tc>
        <w:tc>
          <w:tcPr>
            <w:tcW w:w="2080" w:type="dxa"/>
            <w:vAlign w:val="center"/>
          </w:tcPr>
          <w:p w:rsidR="00E27E10" w:rsidRPr="00C92CC3" w:rsidRDefault="00E27E10" w:rsidP="00B808DD">
            <w:pPr>
              <w:jc w:val="right"/>
              <w:rPr>
                <w:lang w:val="en-US"/>
              </w:rPr>
            </w:pPr>
            <w:r>
              <w:rPr>
                <w:lang w:val="en-US"/>
              </w:rPr>
              <w:t>365,84</w:t>
            </w:r>
          </w:p>
        </w:tc>
        <w:tc>
          <w:tcPr>
            <w:tcW w:w="2080" w:type="dxa"/>
            <w:vAlign w:val="center"/>
          </w:tcPr>
          <w:p w:rsidR="00E27E10" w:rsidRPr="00604B04" w:rsidRDefault="00E27E10" w:rsidP="00604B04">
            <w:pPr>
              <w:jc w:val="right"/>
              <w:rPr>
                <w:lang w:val="en-US"/>
              </w:rPr>
            </w:pPr>
            <w:r w:rsidRPr="00604B04">
              <w:rPr>
                <w:lang w:val="en-US"/>
              </w:rPr>
              <w:t>424,71</w:t>
            </w:r>
          </w:p>
        </w:tc>
        <w:tc>
          <w:tcPr>
            <w:tcW w:w="1922" w:type="dxa"/>
            <w:noWrap/>
            <w:vAlign w:val="center"/>
          </w:tcPr>
          <w:p w:rsidR="00E27E10" w:rsidRPr="00C92CC3" w:rsidRDefault="00E27E10" w:rsidP="008968F4">
            <w:pPr>
              <w:jc w:val="center"/>
              <w:rPr>
                <w:b/>
                <w:bCs/>
                <w:i/>
                <w:iCs/>
                <w:lang w:val="en-US"/>
              </w:rPr>
            </w:pPr>
            <w:r>
              <w:rPr>
                <w:b/>
                <w:bCs/>
                <w:i/>
                <w:iCs/>
                <w:lang w:val="en-US"/>
              </w:rPr>
              <w:t>116,10%</w:t>
            </w:r>
          </w:p>
        </w:tc>
      </w:tr>
      <w:tr w:rsidR="00E27E10" w:rsidRPr="00C92CC3">
        <w:trPr>
          <w:trHeight w:val="602"/>
          <w:jc w:val="center"/>
        </w:trPr>
        <w:tc>
          <w:tcPr>
            <w:tcW w:w="3549" w:type="dxa"/>
            <w:vAlign w:val="bottom"/>
          </w:tcPr>
          <w:p w:rsidR="00E27E10" w:rsidRPr="00C92CC3" w:rsidRDefault="00E27E10" w:rsidP="008968F4">
            <w:pPr>
              <w:rPr>
                <w:lang w:val="fr-FR"/>
              </w:rPr>
            </w:pPr>
            <w:r w:rsidRPr="00C92CC3">
              <w:rPr>
                <w:lang w:val="fr-FR"/>
              </w:rPr>
              <w:t xml:space="preserve">Bugetul  fondului national unic de asigurari de sanatate </w:t>
            </w:r>
          </w:p>
        </w:tc>
        <w:tc>
          <w:tcPr>
            <w:tcW w:w="2080" w:type="dxa"/>
            <w:vAlign w:val="center"/>
          </w:tcPr>
          <w:p w:rsidR="00E27E10" w:rsidRPr="00C92CC3" w:rsidRDefault="00E27E10" w:rsidP="00B808DD">
            <w:pPr>
              <w:jc w:val="right"/>
              <w:rPr>
                <w:lang w:val="en-US"/>
              </w:rPr>
            </w:pPr>
            <w:r>
              <w:rPr>
                <w:lang w:val="en-US"/>
              </w:rPr>
              <w:t>162,66</w:t>
            </w:r>
          </w:p>
        </w:tc>
        <w:tc>
          <w:tcPr>
            <w:tcW w:w="2080" w:type="dxa"/>
            <w:vAlign w:val="center"/>
          </w:tcPr>
          <w:p w:rsidR="00E27E10" w:rsidRPr="00604B04" w:rsidRDefault="00E27E10" w:rsidP="00604B04">
            <w:pPr>
              <w:jc w:val="right"/>
              <w:rPr>
                <w:lang w:val="en-US"/>
              </w:rPr>
            </w:pPr>
            <w:r w:rsidRPr="00604B04">
              <w:rPr>
                <w:lang w:val="en-US"/>
              </w:rPr>
              <w:t>183,44</w:t>
            </w:r>
          </w:p>
        </w:tc>
        <w:tc>
          <w:tcPr>
            <w:tcW w:w="1922" w:type="dxa"/>
            <w:noWrap/>
            <w:vAlign w:val="center"/>
          </w:tcPr>
          <w:p w:rsidR="00E27E10" w:rsidRPr="00C92CC3" w:rsidRDefault="00E27E10" w:rsidP="008968F4">
            <w:pPr>
              <w:jc w:val="center"/>
              <w:rPr>
                <w:b/>
                <w:bCs/>
                <w:i/>
                <w:iCs/>
                <w:lang w:val="en-US"/>
              </w:rPr>
            </w:pPr>
            <w:r>
              <w:rPr>
                <w:b/>
                <w:bCs/>
                <w:i/>
                <w:iCs/>
                <w:lang w:val="en-US"/>
              </w:rPr>
              <w:t>112,78%</w:t>
            </w:r>
          </w:p>
        </w:tc>
      </w:tr>
      <w:tr w:rsidR="00E27E10" w:rsidRPr="00C92CC3">
        <w:trPr>
          <w:trHeight w:val="615"/>
          <w:jc w:val="center"/>
        </w:trPr>
        <w:tc>
          <w:tcPr>
            <w:tcW w:w="3549" w:type="dxa"/>
            <w:vAlign w:val="bottom"/>
          </w:tcPr>
          <w:p w:rsidR="00E27E10" w:rsidRPr="0098155C" w:rsidRDefault="00E27E10" w:rsidP="008968F4">
            <w:pPr>
              <w:rPr>
                <w:lang w:val="pt-BR"/>
              </w:rPr>
            </w:pPr>
            <w:r w:rsidRPr="0098155C">
              <w:rPr>
                <w:lang w:val="pt-BR"/>
              </w:rPr>
              <w:t>Bugetul asigurarilor sociale pentru somaj</w:t>
            </w:r>
          </w:p>
        </w:tc>
        <w:tc>
          <w:tcPr>
            <w:tcW w:w="2080" w:type="dxa"/>
            <w:vAlign w:val="center"/>
          </w:tcPr>
          <w:p w:rsidR="00E27E10" w:rsidRPr="00C92CC3" w:rsidRDefault="00E27E10" w:rsidP="00B808DD">
            <w:pPr>
              <w:jc w:val="right"/>
              <w:rPr>
                <w:lang w:val="en-US"/>
              </w:rPr>
            </w:pPr>
            <w:r>
              <w:rPr>
                <w:lang w:val="en-US"/>
              </w:rPr>
              <w:t>12,37</w:t>
            </w:r>
          </w:p>
        </w:tc>
        <w:tc>
          <w:tcPr>
            <w:tcW w:w="2080" w:type="dxa"/>
            <w:vAlign w:val="center"/>
          </w:tcPr>
          <w:p w:rsidR="00E27E10" w:rsidRPr="00604B04" w:rsidRDefault="00E27E10" w:rsidP="00604B04">
            <w:pPr>
              <w:jc w:val="right"/>
              <w:rPr>
                <w:lang w:val="en-US"/>
              </w:rPr>
            </w:pPr>
            <w:r w:rsidRPr="00604B04">
              <w:rPr>
                <w:lang w:val="en-US"/>
              </w:rPr>
              <w:t>14,58</w:t>
            </w:r>
          </w:p>
        </w:tc>
        <w:tc>
          <w:tcPr>
            <w:tcW w:w="1922" w:type="dxa"/>
            <w:noWrap/>
            <w:vAlign w:val="center"/>
          </w:tcPr>
          <w:p w:rsidR="00E27E10" w:rsidRPr="00C92CC3" w:rsidRDefault="00E27E10" w:rsidP="008968F4">
            <w:pPr>
              <w:jc w:val="center"/>
              <w:rPr>
                <w:b/>
                <w:bCs/>
                <w:i/>
                <w:iCs/>
                <w:lang w:val="en-US"/>
              </w:rPr>
            </w:pPr>
            <w:r>
              <w:rPr>
                <w:b/>
                <w:bCs/>
                <w:i/>
                <w:iCs/>
                <w:lang w:val="en-US"/>
              </w:rPr>
              <w:t>117,87%</w:t>
            </w:r>
          </w:p>
        </w:tc>
      </w:tr>
      <w:tr w:rsidR="00E27E10" w:rsidRPr="00C92CC3">
        <w:trPr>
          <w:trHeight w:val="420"/>
          <w:jc w:val="center"/>
        </w:trPr>
        <w:tc>
          <w:tcPr>
            <w:tcW w:w="3549" w:type="dxa"/>
            <w:shd w:val="clear" w:color="auto" w:fill="CCFFCC"/>
            <w:vAlign w:val="bottom"/>
          </w:tcPr>
          <w:p w:rsidR="00E27E10" w:rsidRPr="00C92CC3" w:rsidRDefault="00E27E10" w:rsidP="008968F4">
            <w:pPr>
              <w:jc w:val="center"/>
              <w:rPr>
                <w:b/>
                <w:bCs/>
                <w:i/>
                <w:iCs/>
                <w:u w:val="single"/>
                <w:lang w:val="en-US"/>
              </w:rPr>
            </w:pPr>
            <w:r w:rsidRPr="00C92CC3">
              <w:rPr>
                <w:b/>
                <w:bCs/>
                <w:i/>
                <w:iCs/>
                <w:u w:val="single"/>
                <w:lang w:val="en-US"/>
              </w:rPr>
              <w:t xml:space="preserve">TOTAL </w:t>
            </w:r>
          </w:p>
        </w:tc>
        <w:tc>
          <w:tcPr>
            <w:tcW w:w="2080" w:type="dxa"/>
            <w:shd w:val="clear" w:color="auto" w:fill="CCFFCC"/>
            <w:noWrap/>
            <w:vAlign w:val="bottom"/>
          </w:tcPr>
          <w:p w:rsidR="00E27E10" w:rsidRPr="00604B04" w:rsidRDefault="00E27E10" w:rsidP="00B808DD">
            <w:pPr>
              <w:jc w:val="right"/>
              <w:rPr>
                <w:b/>
                <w:bCs/>
                <w:i/>
                <w:iCs/>
                <w:lang w:val="en-US"/>
              </w:rPr>
            </w:pPr>
            <w:r w:rsidRPr="00604B04">
              <w:rPr>
                <w:b/>
                <w:bCs/>
                <w:i/>
                <w:iCs/>
                <w:lang w:val="en-US"/>
              </w:rPr>
              <w:t>901,35</w:t>
            </w:r>
          </w:p>
        </w:tc>
        <w:tc>
          <w:tcPr>
            <w:tcW w:w="2080" w:type="dxa"/>
            <w:shd w:val="clear" w:color="auto" w:fill="CCFFCC"/>
            <w:noWrap/>
            <w:vAlign w:val="center"/>
          </w:tcPr>
          <w:p w:rsidR="00E27E10" w:rsidRPr="00FA3817" w:rsidRDefault="00E27E10" w:rsidP="00604B04">
            <w:pPr>
              <w:jc w:val="right"/>
              <w:rPr>
                <w:b/>
                <w:bCs/>
                <w:i/>
                <w:iCs/>
                <w:lang w:val="en-US"/>
              </w:rPr>
            </w:pPr>
            <w:r w:rsidRPr="00FA3817">
              <w:rPr>
                <w:b/>
                <w:bCs/>
                <w:i/>
                <w:iCs/>
                <w:lang w:val="en-US"/>
              </w:rPr>
              <w:t>1.089,56</w:t>
            </w:r>
          </w:p>
        </w:tc>
        <w:tc>
          <w:tcPr>
            <w:tcW w:w="1922" w:type="dxa"/>
            <w:shd w:val="clear" w:color="auto" w:fill="CCFFCC"/>
            <w:noWrap/>
            <w:vAlign w:val="center"/>
          </w:tcPr>
          <w:p w:rsidR="00E27E10" w:rsidRPr="00C92CC3" w:rsidRDefault="00E27E10" w:rsidP="008968F4">
            <w:pPr>
              <w:jc w:val="center"/>
              <w:rPr>
                <w:b/>
                <w:bCs/>
                <w:i/>
                <w:iCs/>
                <w:lang w:val="en-US"/>
              </w:rPr>
            </w:pPr>
            <w:r>
              <w:rPr>
                <w:b/>
                <w:bCs/>
                <w:i/>
                <w:iCs/>
                <w:lang w:val="en-US"/>
              </w:rPr>
              <w:t>120,88%</w:t>
            </w:r>
          </w:p>
        </w:tc>
      </w:tr>
    </w:tbl>
    <w:p w:rsidR="00E27E10" w:rsidRDefault="00E27E10" w:rsidP="00232FD9">
      <w:pPr>
        <w:ind w:firstLine="720"/>
        <w:jc w:val="both"/>
        <w:rPr>
          <w:b/>
          <w:bCs/>
        </w:rPr>
      </w:pPr>
    </w:p>
    <w:p w:rsidR="00E27E10" w:rsidRDefault="00E27E10" w:rsidP="00232FD9">
      <w:pPr>
        <w:ind w:firstLine="720"/>
        <w:jc w:val="both"/>
      </w:pPr>
    </w:p>
    <w:p w:rsidR="00E27E10" w:rsidRPr="00D17A3E" w:rsidRDefault="00E27E10" w:rsidP="00232FD9">
      <w:pPr>
        <w:ind w:firstLine="720"/>
        <w:jc w:val="both"/>
        <w:rPr>
          <w:b/>
          <w:bCs/>
          <w:sz w:val="26"/>
          <w:szCs w:val="26"/>
        </w:rPr>
      </w:pPr>
      <w:r w:rsidRPr="00D17A3E">
        <w:rPr>
          <w:b/>
          <w:bCs/>
          <w:sz w:val="26"/>
          <w:szCs w:val="26"/>
        </w:rPr>
        <w:t>Sumele încasate la bugetul general consolidat sunt influnţate de următoarele:</w:t>
      </w:r>
    </w:p>
    <w:p w:rsidR="00E27E10" w:rsidRDefault="00E27E10" w:rsidP="00232FD9">
      <w:pPr>
        <w:ind w:firstLine="720"/>
        <w:jc w:val="both"/>
        <w:rPr>
          <w:sz w:val="26"/>
          <w:szCs w:val="26"/>
        </w:rPr>
      </w:pPr>
    </w:p>
    <w:p w:rsidR="00E27E10" w:rsidRPr="008D5457" w:rsidRDefault="00E27E10" w:rsidP="008D5457">
      <w:pPr>
        <w:numPr>
          <w:ilvl w:val="0"/>
          <w:numId w:val="15"/>
        </w:numPr>
        <w:jc w:val="both"/>
        <w:rPr>
          <w:lang w:val="pt-BR"/>
        </w:rPr>
      </w:pPr>
      <w:r w:rsidRPr="00D17A3E">
        <w:rPr>
          <w:sz w:val="26"/>
          <w:szCs w:val="26"/>
          <w:u w:val="single"/>
          <w:lang w:val="pt-BR"/>
        </w:rPr>
        <w:t>sumele declarate de către contribuabili</w:t>
      </w:r>
      <w:r w:rsidRPr="00D17A3E">
        <w:rPr>
          <w:sz w:val="26"/>
          <w:szCs w:val="26"/>
          <w:lang w:val="pt-BR"/>
        </w:rPr>
        <w:t xml:space="preserve"> :</w:t>
      </w:r>
    </w:p>
    <w:p w:rsidR="00E27E10" w:rsidRDefault="00E27E10" w:rsidP="00232FD9">
      <w:pPr>
        <w:ind w:firstLine="720"/>
        <w:jc w:val="center"/>
        <w:rPr>
          <w:sz w:val="28"/>
          <w:szCs w:val="28"/>
          <w:lang w:val="it-IT"/>
        </w:rPr>
      </w:pPr>
      <w:r w:rsidRPr="00D17A3E">
        <w:rPr>
          <w:lang w:val="pt-BR"/>
        </w:rPr>
        <w:t xml:space="preserve">                                                                                                                             </w:t>
      </w:r>
      <w:r>
        <w:t>mil. lei</w:t>
      </w:r>
    </w:p>
    <w:tbl>
      <w:tblPr>
        <w:tblW w:w="9884" w:type="dxa"/>
        <w:jc w:val="center"/>
        <w:tblLook w:val="0000" w:firstRow="0" w:lastRow="0" w:firstColumn="0" w:lastColumn="0" w:noHBand="0" w:noVBand="0"/>
      </w:tblPr>
      <w:tblGrid>
        <w:gridCol w:w="1877"/>
        <w:gridCol w:w="1116"/>
        <w:gridCol w:w="1176"/>
        <w:gridCol w:w="1116"/>
        <w:gridCol w:w="1116"/>
        <w:gridCol w:w="1116"/>
        <w:gridCol w:w="1116"/>
        <w:gridCol w:w="1251"/>
      </w:tblGrid>
      <w:tr w:rsidR="00E27E10" w:rsidRPr="00483655">
        <w:trPr>
          <w:trHeight w:val="330"/>
          <w:jc w:val="center"/>
        </w:trPr>
        <w:tc>
          <w:tcPr>
            <w:tcW w:w="1877" w:type="dxa"/>
            <w:vMerge w:val="restart"/>
            <w:tcBorders>
              <w:top w:val="single" w:sz="4" w:space="0" w:color="auto"/>
              <w:left w:val="double" w:sz="6" w:space="0" w:color="auto"/>
              <w:bottom w:val="single" w:sz="4" w:space="0" w:color="auto"/>
              <w:right w:val="single" w:sz="4" w:space="0" w:color="auto"/>
            </w:tcBorders>
            <w:vAlign w:val="center"/>
          </w:tcPr>
          <w:p w:rsidR="00E27E10" w:rsidRPr="00C92CC3" w:rsidRDefault="00E27E10" w:rsidP="008968F4">
            <w:pPr>
              <w:jc w:val="center"/>
              <w:rPr>
                <w:b/>
                <w:bCs/>
                <w:lang w:val="en-US"/>
              </w:rPr>
            </w:pPr>
            <w:r w:rsidRPr="00C92CC3">
              <w:rPr>
                <w:b/>
                <w:bCs/>
                <w:lang w:val="en-US"/>
              </w:rPr>
              <w:t> </w:t>
            </w:r>
          </w:p>
        </w:tc>
        <w:tc>
          <w:tcPr>
            <w:tcW w:w="6756" w:type="dxa"/>
            <w:gridSpan w:val="6"/>
            <w:tcBorders>
              <w:top w:val="single" w:sz="4" w:space="0" w:color="auto"/>
              <w:left w:val="nil"/>
              <w:bottom w:val="single" w:sz="4" w:space="0" w:color="auto"/>
              <w:right w:val="nil"/>
            </w:tcBorders>
            <w:vAlign w:val="center"/>
          </w:tcPr>
          <w:p w:rsidR="00E27E10" w:rsidRPr="008D5457" w:rsidRDefault="00E27E10" w:rsidP="008968F4">
            <w:pPr>
              <w:jc w:val="center"/>
              <w:rPr>
                <w:lang w:val="en-US"/>
              </w:rPr>
            </w:pPr>
            <w:r w:rsidRPr="008D5457">
              <w:rPr>
                <w:lang w:val="en-US"/>
              </w:rPr>
              <w:t>2021</w:t>
            </w:r>
          </w:p>
        </w:tc>
        <w:tc>
          <w:tcPr>
            <w:tcW w:w="1251" w:type="dxa"/>
            <w:vMerge w:val="restart"/>
            <w:tcBorders>
              <w:top w:val="single" w:sz="4" w:space="0" w:color="auto"/>
              <w:left w:val="single" w:sz="4" w:space="0" w:color="auto"/>
              <w:bottom w:val="single" w:sz="4" w:space="0" w:color="auto"/>
              <w:right w:val="double" w:sz="6" w:space="0" w:color="auto"/>
            </w:tcBorders>
            <w:vAlign w:val="center"/>
          </w:tcPr>
          <w:p w:rsidR="00E27E10" w:rsidRPr="008D5457" w:rsidRDefault="00E27E10" w:rsidP="008968F4">
            <w:pPr>
              <w:jc w:val="center"/>
              <w:rPr>
                <w:lang w:val="en-US"/>
              </w:rPr>
            </w:pPr>
            <w:r w:rsidRPr="008D5457">
              <w:rPr>
                <w:lang w:val="en-US"/>
              </w:rPr>
              <w:t>total   semestrul I 2021</w:t>
            </w:r>
          </w:p>
        </w:tc>
      </w:tr>
      <w:tr w:rsidR="00E27E10" w:rsidRPr="00483655">
        <w:trPr>
          <w:trHeight w:val="405"/>
          <w:jc w:val="center"/>
        </w:trPr>
        <w:tc>
          <w:tcPr>
            <w:tcW w:w="1877" w:type="dxa"/>
            <w:vMerge/>
            <w:tcBorders>
              <w:top w:val="nil"/>
              <w:left w:val="double" w:sz="6" w:space="0" w:color="auto"/>
              <w:bottom w:val="single" w:sz="4" w:space="0" w:color="auto"/>
              <w:right w:val="single" w:sz="4" w:space="0" w:color="auto"/>
            </w:tcBorders>
            <w:vAlign w:val="center"/>
          </w:tcPr>
          <w:p w:rsidR="00E27E10" w:rsidRPr="00C92CC3" w:rsidRDefault="00E27E10" w:rsidP="008968F4">
            <w:pPr>
              <w:rPr>
                <w:b/>
                <w:bCs/>
                <w:lang w:val="en-US"/>
              </w:rPr>
            </w:pPr>
          </w:p>
        </w:tc>
        <w:tc>
          <w:tcPr>
            <w:tcW w:w="1116" w:type="dxa"/>
            <w:tcBorders>
              <w:top w:val="nil"/>
              <w:left w:val="nil"/>
              <w:bottom w:val="single" w:sz="4" w:space="0" w:color="auto"/>
              <w:right w:val="single" w:sz="4" w:space="0" w:color="auto"/>
            </w:tcBorders>
            <w:vAlign w:val="center"/>
          </w:tcPr>
          <w:p w:rsidR="00E27E10" w:rsidRPr="008D5457" w:rsidRDefault="00E27E10" w:rsidP="008968F4">
            <w:pPr>
              <w:jc w:val="center"/>
              <w:rPr>
                <w:lang w:val="en-US"/>
              </w:rPr>
            </w:pPr>
            <w:r w:rsidRPr="008D5457">
              <w:rPr>
                <w:lang w:val="en-US"/>
              </w:rPr>
              <w:t>ianuarie</w:t>
            </w:r>
          </w:p>
        </w:tc>
        <w:tc>
          <w:tcPr>
            <w:tcW w:w="1176" w:type="dxa"/>
            <w:tcBorders>
              <w:top w:val="nil"/>
              <w:left w:val="nil"/>
              <w:bottom w:val="single" w:sz="4" w:space="0" w:color="auto"/>
              <w:right w:val="single" w:sz="4" w:space="0" w:color="auto"/>
            </w:tcBorders>
            <w:vAlign w:val="center"/>
          </w:tcPr>
          <w:p w:rsidR="00E27E10" w:rsidRPr="008D5457" w:rsidRDefault="00E27E10" w:rsidP="008968F4">
            <w:pPr>
              <w:jc w:val="center"/>
              <w:rPr>
                <w:lang w:val="en-US"/>
              </w:rPr>
            </w:pPr>
            <w:r w:rsidRPr="008D5457">
              <w:rPr>
                <w:lang w:val="en-US"/>
              </w:rPr>
              <w:t>februarie</w:t>
            </w:r>
          </w:p>
        </w:tc>
        <w:tc>
          <w:tcPr>
            <w:tcW w:w="1116" w:type="dxa"/>
            <w:tcBorders>
              <w:top w:val="nil"/>
              <w:left w:val="nil"/>
              <w:bottom w:val="single" w:sz="4" w:space="0" w:color="auto"/>
              <w:right w:val="single" w:sz="4" w:space="0" w:color="auto"/>
            </w:tcBorders>
            <w:vAlign w:val="center"/>
          </w:tcPr>
          <w:p w:rsidR="00E27E10" w:rsidRPr="008D5457" w:rsidRDefault="00E27E10" w:rsidP="008968F4">
            <w:pPr>
              <w:jc w:val="center"/>
              <w:rPr>
                <w:lang w:val="en-US"/>
              </w:rPr>
            </w:pPr>
            <w:r w:rsidRPr="008D5457">
              <w:rPr>
                <w:lang w:val="en-US"/>
              </w:rPr>
              <w:t>martie</w:t>
            </w:r>
          </w:p>
        </w:tc>
        <w:tc>
          <w:tcPr>
            <w:tcW w:w="1116" w:type="dxa"/>
            <w:tcBorders>
              <w:top w:val="nil"/>
              <w:left w:val="nil"/>
              <w:bottom w:val="single" w:sz="4" w:space="0" w:color="auto"/>
              <w:right w:val="single" w:sz="4" w:space="0" w:color="auto"/>
            </w:tcBorders>
            <w:vAlign w:val="center"/>
          </w:tcPr>
          <w:p w:rsidR="00E27E10" w:rsidRPr="008D5457" w:rsidRDefault="00E27E10" w:rsidP="008968F4">
            <w:pPr>
              <w:jc w:val="center"/>
              <w:rPr>
                <w:lang w:val="en-US"/>
              </w:rPr>
            </w:pPr>
            <w:r w:rsidRPr="008D5457">
              <w:rPr>
                <w:lang w:val="en-US"/>
              </w:rPr>
              <w:t>aprilie</w:t>
            </w:r>
          </w:p>
        </w:tc>
        <w:tc>
          <w:tcPr>
            <w:tcW w:w="1116" w:type="dxa"/>
            <w:tcBorders>
              <w:top w:val="nil"/>
              <w:left w:val="nil"/>
              <w:bottom w:val="single" w:sz="4" w:space="0" w:color="auto"/>
              <w:right w:val="single" w:sz="4" w:space="0" w:color="auto"/>
            </w:tcBorders>
            <w:vAlign w:val="center"/>
          </w:tcPr>
          <w:p w:rsidR="00E27E10" w:rsidRPr="008D5457" w:rsidRDefault="00E27E10" w:rsidP="008968F4">
            <w:pPr>
              <w:jc w:val="center"/>
              <w:rPr>
                <w:lang w:val="en-US"/>
              </w:rPr>
            </w:pPr>
            <w:r w:rsidRPr="008D5457">
              <w:rPr>
                <w:lang w:val="en-US"/>
              </w:rPr>
              <w:t>mai</w:t>
            </w:r>
          </w:p>
        </w:tc>
        <w:tc>
          <w:tcPr>
            <w:tcW w:w="1116" w:type="dxa"/>
            <w:tcBorders>
              <w:top w:val="nil"/>
              <w:left w:val="nil"/>
              <w:bottom w:val="single" w:sz="4" w:space="0" w:color="auto"/>
              <w:right w:val="single" w:sz="4" w:space="0" w:color="auto"/>
            </w:tcBorders>
            <w:vAlign w:val="center"/>
          </w:tcPr>
          <w:p w:rsidR="00E27E10" w:rsidRPr="008D5457" w:rsidRDefault="00E27E10" w:rsidP="008968F4">
            <w:pPr>
              <w:jc w:val="center"/>
              <w:rPr>
                <w:lang w:val="en-US"/>
              </w:rPr>
            </w:pPr>
            <w:r w:rsidRPr="008D5457">
              <w:rPr>
                <w:lang w:val="en-US"/>
              </w:rPr>
              <w:t>iunie</w:t>
            </w:r>
          </w:p>
        </w:tc>
        <w:tc>
          <w:tcPr>
            <w:tcW w:w="1251" w:type="dxa"/>
            <w:vMerge/>
            <w:tcBorders>
              <w:top w:val="nil"/>
              <w:left w:val="single" w:sz="4" w:space="0" w:color="auto"/>
              <w:bottom w:val="single" w:sz="4" w:space="0" w:color="auto"/>
              <w:right w:val="double" w:sz="6" w:space="0" w:color="auto"/>
            </w:tcBorders>
            <w:vAlign w:val="center"/>
          </w:tcPr>
          <w:p w:rsidR="00E27E10" w:rsidRPr="00C92CC3" w:rsidRDefault="00E27E10" w:rsidP="008968F4">
            <w:pPr>
              <w:rPr>
                <w:b/>
                <w:bCs/>
                <w:lang w:val="en-US"/>
              </w:rPr>
            </w:pPr>
          </w:p>
        </w:tc>
      </w:tr>
      <w:tr w:rsidR="00E27E10" w:rsidRPr="00483655" w:rsidTr="00D17A3E">
        <w:trPr>
          <w:trHeight w:val="377"/>
          <w:jc w:val="center"/>
        </w:trPr>
        <w:tc>
          <w:tcPr>
            <w:tcW w:w="1877" w:type="dxa"/>
            <w:tcBorders>
              <w:top w:val="nil"/>
              <w:left w:val="double" w:sz="6" w:space="0" w:color="auto"/>
              <w:bottom w:val="single" w:sz="4" w:space="0" w:color="auto"/>
              <w:right w:val="single" w:sz="4" w:space="0" w:color="auto"/>
            </w:tcBorders>
            <w:vAlign w:val="center"/>
          </w:tcPr>
          <w:p w:rsidR="00E27E10" w:rsidRPr="00C92CC3" w:rsidRDefault="00E27E10" w:rsidP="008968F4">
            <w:pPr>
              <w:rPr>
                <w:sz w:val="18"/>
                <w:szCs w:val="18"/>
                <w:lang w:val="en-US"/>
              </w:rPr>
            </w:pPr>
            <w:r w:rsidRPr="00C92CC3">
              <w:rPr>
                <w:sz w:val="18"/>
                <w:szCs w:val="18"/>
                <w:lang w:val="en-US"/>
              </w:rPr>
              <w:t xml:space="preserve">  </w:t>
            </w:r>
            <w:r>
              <w:rPr>
                <w:sz w:val="18"/>
                <w:szCs w:val="18"/>
                <w:lang w:val="en-US"/>
              </w:rPr>
              <w:t>S</w:t>
            </w:r>
            <w:r w:rsidRPr="00C92CC3">
              <w:rPr>
                <w:sz w:val="18"/>
                <w:szCs w:val="18"/>
                <w:lang w:val="en-US"/>
              </w:rPr>
              <w:t>ume declarate</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205,07</w:t>
            </w:r>
          </w:p>
        </w:tc>
        <w:tc>
          <w:tcPr>
            <w:tcW w:w="117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155,19</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193,52</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198,45</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169,26</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170,34</w:t>
            </w:r>
          </w:p>
        </w:tc>
        <w:tc>
          <w:tcPr>
            <w:tcW w:w="1251" w:type="dxa"/>
            <w:tcBorders>
              <w:top w:val="nil"/>
              <w:left w:val="nil"/>
              <w:bottom w:val="single" w:sz="4" w:space="0" w:color="auto"/>
              <w:right w:val="double" w:sz="6" w:space="0" w:color="auto"/>
            </w:tcBorders>
            <w:vAlign w:val="center"/>
          </w:tcPr>
          <w:p w:rsidR="00E27E10" w:rsidRPr="00C92CC3" w:rsidRDefault="00E27E10" w:rsidP="008968F4">
            <w:pPr>
              <w:jc w:val="center"/>
              <w:rPr>
                <w:sz w:val="18"/>
                <w:szCs w:val="18"/>
                <w:lang w:val="en-US"/>
              </w:rPr>
            </w:pPr>
            <w:r>
              <w:rPr>
                <w:sz w:val="18"/>
                <w:szCs w:val="18"/>
                <w:lang w:val="en-US"/>
              </w:rPr>
              <w:t>1.091,83</w:t>
            </w:r>
          </w:p>
        </w:tc>
      </w:tr>
      <w:tr w:rsidR="00E27E10" w:rsidRPr="00483655">
        <w:trPr>
          <w:trHeight w:val="287"/>
          <w:jc w:val="center"/>
        </w:trPr>
        <w:tc>
          <w:tcPr>
            <w:tcW w:w="1877" w:type="dxa"/>
            <w:tcBorders>
              <w:top w:val="nil"/>
              <w:left w:val="double" w:sz="6" w:space="0" w:color="auto"/>
              <w:bottom w:val="single" w:sz="4" w:space="0" w:color="auto"/>
              <w:right w:val="single" w:sz="4" w:space="0" w:color="auto"/>
            </w:tcBorders>
            <w:vAlign w:val="center"/>
          </w:tcPr>
          <w:p w:rsidR="00E27E10" w:rsidRPr="002D648B" w:rsidRDefault="00E27E10" w:rsidP="008968F4">
            <w:pPr>
              <w:rPr>
                <w:sz w:val="16"/>
                <w:szCs w:val="16"/>
                <w:lang w:val="en-US"/>
              </w:rPr>
            </w:pPr>
            <w:r>
              <w:rPr>
                <w:sz w:val="16"/>
                <w:szCs w:val="16"/>
                <w:lang w:val="en-US"/>
              </w:rPr>
              <w:t>Autocompensări</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7,61</w:t>
            </w:r>
          </w:p>
        </w:tc>
        <w:tc>
          <w:tcPr>
            <w:tcW w:w="117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3,44</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15,72</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5,34</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5,56</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5,76</w:t>
            </w:r>
          </w:p>
        </w:tc>
        <w:tc>
          <w:tcPr>
            <w:tcW w:w="1251" w:type="dxa"/>
            <w:tcBorders>
              <w:top w:val="nil"/>
              <w:left w:val="nil"/>
              <w:bottom w:val="single" w:sz="4" w:space="0" w:color="auto"/>
              <w:right w:val="double" w:sz="6" w:space="0" w:color="auto"/>
            </w:tcBorders>
            <w:vAlign w:val="center"/>
          </w:tcPr>
          <w:p w:rsidR="00E27E10" w:rsidRPr="00C92CC3" w:rsidRDefault="00E27E10" w:rsidP="008968F4">
            <w:pPr>
              <w:jc w:val="center"/>
              <w:rPr>
                <w:sz w:val="18"/>
                <w:szCs w:val="18"/>
                <w:lang w:val="en-US"/>
              </w:rPr>
            </w:pPr>
            <w:r>
              <w:rPr>
                <w:sz w:val="18"/>
                <w:szCs w:val="18"/>
                <w:lang w:val="en-US"/>
              </w:rPr>
              <w:t>4,43</w:t>
            </w:r>
          </w:p>
        </w:tc>
      </w:tr>
      <w:tr w:rsidR="00E27E10" w:rsidRPr="00483655" w:rsidTr="00D17A3E">
        <w:trPr>
          <w:trHeight w:val="233"/>
          <w:jc w:val="center"/>
        </w:trPr>
        <w:tc>
          <w:tcPr>
            <w:tcW w:w="1877" w:type="dxa"/>
            <w:tcBorders>
              <w:top w:val="nil"/>
              <w:left w:val="double" w:sz="6" w:space="0" w:color="auto"/>
              <w:bottom w:val="single" w:sz="4" w:space="0" w:color="auto"/>
              <w:right w:val="single" w:sz="4" w:space="0" w:color="auto"/>
            </w:tcBorders>
            <w:vAlign w:val="center"/>
          </w:tcPr>
          <w:p w:rsidR="00E27E10" w:rsidRPr="002D648B" w:rsidRDefault="00E27E10" w:rsidP="008968F4">
            <w:pPr>
              <w:rPr>
                <w:sz w:val="16"/>
                <w:szCs w:val="16"/>
                <w:lang w:val="en-US"/>
              </w:rPr>
            </w:pPr>
            <w:r>
              <w:rPr>
                <w:sz w:val="16"/>
                <w:szCs w:val="16"/>
                <w:lang w:val="en-US"/>
              </w:rPr>
              <w:t>Declarat soc. în insolvenţă</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1,32</w:t>
            </w:r>
          </w:p>
        </w:tc>
        <w:tc>
          <w:tcPr>
            <w:tcW w:w="117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0,85</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0,75</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0,81</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0,74</w:t>
            </w:r>
          </w:p>
        </w:tc>
        <w:tc>
          <w:tcPr>
            <w:tcW w:w="1116" w:type="dxa"/>
            <w:tcBorders>
              <w:top w:val="nil"/>
              <w:left w:val="nil"/>
              <w:bottom w:val="single" w:sz="4" w:space="0" w:color="auto"/>
              <w:right w:val="single" w:sz="4" w:space="0" w:color="auto"/>
            </w:tcBorders>
            <w:noWrap/>
            <w:vAlign w:val="center"/>
          </w:tcPr>
          <w:p w:rsidR="00E27E10" w:rsidRPr="00C92CC3" w:rsidRDefault="00E27E10" w:rsidP="008968F4">
            <w:pPr>
              <w:jc w:val="center"/>
              <w:rPr>
                <w:sz w:val="18"/>
                <w:szCs w:val="18"/>
                <w:lang w:val="en-US"/>
              </w:rPr>
            </w:pPr>
            <w:r>
              <w:rPr>
                <w:sz w:val="18"/>
                <w:szCs w:val="18"/>
                <w:lang w:val="en-US"/>
              </w:rPr>
              <w:t>0,69</w:t>
            </w:r>
          </w:p>
        </w:tc>
        <w:tc>
          <w:tcPr>
            <w:tcW w:w="1251" w:type="dxa"/>
            <w:tcBorders>
              <w:top w:val="nil"/>
              <w:left w:val="nil"/>
              <w:bottom w:val="single" w:sz="4" w:space="0" w:color="auto"/>
              <w:right w:val="double" w:sz="6" w:space="0" w:color="auto"/>
            </w:tcBorders>
            <w:vAlign w:val="center"/>
          </w:tcPr>
          <w:p w:rsidR="00E27E10" w:rsidRPr="00C92CC3" w:rsidRDefault="00E27E10" w:rsidP="008968F4">
            <w:pPr>
              <w:jc w:val="center"/>
              <w:rPr>
                <w:sz w:val="18"/>
                <w:szCs w:val="18"/>
                <w:lang w:val="en-US"/>
              </w:rPr>
            </w:pPr>
            <w:r>
              <w:rPr>
                <w:sz w:val="18"/>
                <w:szCs w:val="18"/>
                <w:lang w:val="en-US"/>
              </w:rPr>
              <w:t>5,17</w:t>
            </w:r>
          </w:p>
        </w:tc>
      </w:tr>
      <w:tr w:rsidR="00E27E10" w:rsidRPr="00483655">
        <w:trPr>
          <w:trHeight w:val="1020"/>
          <w:jc w:val="center"/>
        </w:trPr>
        <w:tc>
          <w:tcPr>
            <w:tcW w:w="1877" w:type="dxa"/>
            <w:tcBorders>
              <w:top w:val="nil"/>
              <w:left w:val="double" w:sz="6" w:space="0" w:color="auto"/>
              <w:bottom w:val="double" w:sz="6" w:space="0" w:color="auto"/>
              <w:right w:val="single" w:sz="4" w:space="0" w:color="auto"/>
            </w:tcBorders>
            <w:vAlign w:val="center"/>
          </w:tcPr>
          <w:p w:rsidR="00E27E10" w:rsidRPr="00C92CC3" w:rsidRDefault="00E27E10" w:rsidP="008968F4">
            <w:pPr>
              <w:jc w:val="center"/>
              <w:rPr>
                <w:b/>
                <w:bCs/>
                <w:sz w:val="18"/>
                <w:szCs w:val="18"/>
                <w:lang w:val="en-US"/>
              </w:rPr>
            </w:pPr>
            <w:r w:rsidRPr="00C92CC3">
              <w:rPr>
                <w:b/>
                <w:bCs/>
                <w:sz w:val="18"/>
                <w:szCs w:val="18"/>
                <w:lang w:val="en-US"/>
              </w:rPr>
              <w:t>Sume declarate valori nete (rd.1-rd.2-rd.3</w:t>
            </w:r>
          </w:p>
        </w:tc>
        <w:tc>
          <w:tcPr>
            <w:tcW w:w="1116" w:type="dxa"/>
            <w:tcBorders>
              <w:top w:val="nil"/>
              <w:left w:val="nil"/>
              <w:bottom w:val="double" w:sz="6" w:space="0" w:color="auto"/>
              <w:right w:val="single" w:sz="4" w:space="0" w:color="auto"/>
            </w:tcBorders>
            <w:shd w:val="clear" w:color="auto" w:fill="CCFFCC"/>
            <w:noWrap/>
            <w:vAlign w:val="center"/>
          </w:tcPr>
          <w:p w:rsidR="00E27E10" w:rsidRPr="008244D7" w:rsidRDefault="00E27E10" w:rsidP="008968F4">
            <w:pPr>
              <w:jc w:val="center"/>
              <w:rPr>
                <w:sz w:val="18"/>
                <w:szCs w:val="18"/>
                <w:lang w:val="en-US"/>
              </w:rPr>
            </w:pPr>
            <w:r>
              <w:rPr>
                <w:sz w:val="18"/>
                <w:szCs w:val="18"/>
                <w:lang w:val="en-US"/>
              </w:rPr>
              <w:t>196,15</w:t>
            </w:r>
          </w:p>
        </w:tc>
        <w:tc>
          <w:tcPr>
            <w:tcW w:w="1176" w:type="dxa"/>
            <w:tcBorders>
              <w:top w:val="nil"/>
              <w:left w:val="nil"/>
              <w:bottom w:val="double" w:sz="6" w:space="0" w:color="auto"/>
              <w:right w:val="single" w:sz="4" w:space="0" w:color="auto"/>
            </w:tcBorders>
            <w:shd w:val="clear" w:color="auto" w:fill="CCFFCC"/>
            <w:noWrap/>
            <w:vAlign w:val="center"/>
          </w:tcPr>
          <w:p w:rsidR="00E27E10" w:rsidRPr="008244D7" w:rsidRDefault="00E27E10" w:rsidP="008968F4">
            <w:pPr>
              <w:jc w:val="center"/>
              <w:rPr>
                <w:sz w:val="18"/>
                <w:szCs w:val="18"/>
                <w:lang w:val="en-US"/>
              </w:rPr>
            </w:pPr>
            <w:r>
              <w:rPr>
                <w:sz w:val="18"/>
                <w:szCs w:val="18"/>
                <w:lang w:val="en-US"/>
              </w:rPr>
              <w:t>150,90</w:t>
            </w:r>
          </w:p>
        </w:tc>
        <w:tc>
          <w:tcPr>
            <w:tcW w:w="1116" w:type="dxa"/>
            <w:tcBorders>
              <w:top w:val="nil"/>
              <w:left w:val="nil"/>
              <w:bottom w:val="double" w:sz="6" w:space="0" w:color="auto"/>
              <w:right w:val="single" w:sz="4" w:space="0" w:color="auto"/>
            </w:tcBorders>
            <w:shd w:val="clear" w:color="auto" w:fill="CCFFCC"/>
            <w:noWrap/>
            <w:vAlign w:val="center"/>
          </w:tcPr>
          <w:p w:rsidR="00E27E10" w:rsidRPr="008244D7" w:rsidRDefault="00E27E10" w:rsidP="008968F4">
            <w:pPr>
              <w:jc w:val="center"/>
              <w:rPr>
                <w:sz w:val="18"/>
                <w:szCs w:val="18"/>
                <w:lang w:val="en-US"/>
              </w:rPr>
            </w:pPr>
            <w:r>
              <w:rPr>
                <w:sz w:val="18"/>
                <w:szCs w:val="18"/>
                <w:lang w:val="en-US"/>
              </w:rPr>
              <w:t>177,04</w:t>
            </w:r>
          </w:p>
        </w:tc>
        <w:tc>
          <w:tcPr>
            <w:tcW w:w="1116" w:type="dxa"/>
            <w:tcBorders>
              <w:top w:val="nil"/>
              <w:left w:val="nil"/>
              <w:bottom w:val="double" w:sz="6" w:space="0" w:color="auto"/>
              <w:right w:val="single" w:sz="4" w:space="0" w:color="auto"/>
            </w:tcBorders>
            <w:shd w:val="clear" w:color="auto" w:fill="CCFFCC"/>
            <w:noWrap/>
            <w:vAlign w:val="center"/>
          </w:tcPr>
          <w:p w:rsidR="00E27E10" w:rsidRPr="008244D7" w:rsidRDefault="00E27E10" w:rsidP="008968F4">
            <w:pPr>
              <w:jc w:val="center"/>
              <w:rPr>
                <w:sz w:val="18"/>
                <w:szCs w:val="18"/>
                <w:lang w:val="en-US"/>
              </w:rPr>
            </w:pPr>
            <w:r>
              <w:rPr>
                <w:sz w:val="18"/>
                <w:szCs w:val="18"/>
                <w:lang w:val="en-US"/>
              </w:rPr>
              <w:t>192,30</w:t>
            </w:r>
          </w:p>
        </w:tc>
        <w:tc>
          <w:tcPr>
            <w:tcW w:w="1116" w:type="dxa"/>
            <w:tcBorders>
              <w:top w:val="nil"/>
              <w:left w:val="nil"/>
              <w:bottom w:val="double" w:sz="6" w:space="0" w:color="auto"/>
              <w:right w:val="single" w:sz="4" w:space="0" w:color="auto"/>
            </w:tcBorders>
            <w:shd w:val="clear" w:color="auto" w:fill="CCFFCC"/>
            <w:noWrap/>
            <w:vAlign w:val="center"/>
          </w:tcPr>
          <w:p w:rsidR="00E27E10" w:rsidRPr="008244D7" w:rsidRDefault="00E27E10" w:rsidP="008968F4">
            <w:pPr>
              <w:jc w:val="center"/>
              <w:rPr>
                <w:sz w:val="18"/>
                <w:szCs w:val="18"/>
                <w:lang w:val="en-US"/>
              </w:rPr>
            </w:pPr>
            <w:r>
              <w:rPr>
                <w:sz w:val="18"/>
                <w:szCs w:val="18"/>
                <w:lang w:val="en-US"/>
              </w:rPr>
              <w:t>162,95</w:t>
            </w:r>
          </w:p>
        </w:tc>
        <w:tc>
          <w:tcPr>
            <w:tcW w:w="1116" w:type="dxa"/>
            <w:tcBorders>
              <w:top w:val="nil"/>
              <w:left w:val="nil"/>
              <w:bottom w:val="double" w:sz="6" w:space="0" w:color="auto"/>
              <w:right w:val="single" w:sz="4" w:space="0" w:color="auto"/>
            </w:tcBorders>
            <w:shd w:val="clear" w:color="auto" w:fill="CCFFCC"/>
            <w:noWrap/>
            <w:vAlign w:val="center"/>
          </w:tcPr>
          <w:p w:rsidR="00E27E10" w:rsidRPr="008244D7" w:rsidRDefault="00E27E10" w:rsidP="008968F4">
            <w:pPr>
              <w:jc w:val="center"/>
              <w:rPr>
                <w:sz w:val="18"/>
                <w:szCs w:val="18"/>
                <w:lang w:val="en-US"/>
              </w:rPr>
            </w:pPr>
            <w:r>
              <w:rPr>
                <w:sz w:val="18"/>
                <w:szCs w:val="18"/>
                <w:lang w:val="en-US"/>
              </w:rPr>
              <w:t>163,88</w:t>
            </w:r>
          </w:p>
        </w:tc>
        <w:tc>
          <w:tcPr>
            <w:tcW w:w="1251" w:type="dxa"/>
            <w:tcBorders>
              <w:top w:val="nil"/>
              <w:left w:val="nil"/>
              <w:bottom w:val="double" w:sz="6" w:space="0" w:color="auto"/>
              <w:right w:val="double" w:sz="6" w:space="0" w:color="auto"/>
            </w:tcBorders>
            <w:shd w:val="clear" w:color="auto" w:fill="CCFFCC"/>
            <w:noWrap/>
            <w:vAlign w:val="center"/>
          </w:tcPr>
          <w:p w:rsidR="00E27E10" w:rsidRPr="00C92CC3" w:rsidRDefault="00E27E10" w:rsidP="008968F4">
            <w:pPr>
              <w:jc w:val="center"/>
              <w:rPr>
                <w:sz w:val="18"/>
                <w:szCs w:val="18"/>
                <w:lang w:val="en-US"/>
              </w:rPr>
            </w:pPr>
            <w:r>
              <w:rPr>
                <w:sz w:val="18"/>
                <w:szCs w:val="18"/>
                <w:lang w:val="en-US"/>
              </w:rPr>
              <w:t>1.043,23</w:t>
            </w:r>
          </w:p>
        </w:tc>
      </w:tr>
    </w:tbl>
    <w:p w:rsidR="00E27E10" w:rsidRDefault="00E27E10" w:rsidP="00232FD9">
      <w:pPr>
        <w:pStyle w:val="BodyTextIndent3"/>
        <w:snapToGrid w:val="0"/>
      </w:pPr>
    </w:p>
    <w:p w:rsidR="00E27E10" w:rsidRPr="00D17A3E" w:rsidRDefault="00E27E10" w:rsidP="00232FD9">
      <w:pPr>
        <w:ind w:firstLine="720"/>
        <w:jc w:val="both"/>
        <w:rPr>
          <w:sz w:val="26"/>
          <w:szCs w:val="26"/>
          <w:u w:val="single"/>
          <w:lang w:val="ro-RO"/>
        </w:rPr>
      </w:pPr>
      <w:r w:rsidRPr="00D17A3E">
        <w:rPr>
          <w:sz w:val="26"/>
          <w:szCs w:val="26"/>
          <w:u w:val="single"/>
          <w:lang w:val="ro-RO"/>
        </w:rPr>
        <w:lastRenderedPageBreak/>
        <w:t>b) măsuri</w:t>
      </w:r>
      <w:r>
        <w:rPr>
          <w:sz w:val="26"/>
          <w:szCs w:val="26"/>
          <w:u w:val="single"/>
          <w:lang w:val="ro-RO"/>
        </w:rPr>
        <w:t>le</w:t>
      </w:r>
      <w:r w:rsidRPr="00D17A3E">
        <w:rPr>
          <w:sz w:val="26"/>
          <w:szCs w:val="26"/>
          <w:u w:val="single"/>
          <w:lang w:val="ro-RO"/>
        </w:rPr>
        <w:t xml:space="preserve"> de executare silită întreprinse în semestrul I 2021:</w:t>
      </w:r>
    </w:p>
    <w:p w:rsidR="00E27E10" w:rsidRPr="00D17A3E" w:rsidRDefault="00E27E10" w:rsidP="00232FD9">
      <w:pPr>
        <w:ind w:firstLine="720"/>
        <w:jc w:val="both"/>
        <w:rPr>
          <w:sz w:val="26"/>
          <w:szCs w:val="26"/>
          <w:lang w:val="ro-RO"/>
        </w:rPr>
      </w:pPr>
    </w:p>
    <w:p w:rsidR="00E27E10" w:rsidRPr="00D17A3E" w:rsidRDefault="00E27E10" w:rsidP="00232FD9">
      <w:pPr>
        <w:jc w:val="both"/>
        <w:rPr>
          <w:sz w:val="26"/>
          <w:szCs w:val="26"/>
          <w:lang w:val="ro-RO"/>
        </w:rPr>
      </w:pPr>
    </w:p>
    <w:p w:rsidR="00E27E10" w:rsidRPr="00D17A3E" w:rsidRDefault="00E27E10" w:rsidP="00232FD9">
      <w:pPr>
        <w:numPr>
          <w:ilvl w:val="0"/>
          <w:numId w:val="5"/>
        </w:numPr>
        <w:tabs>
          <w:tab w:val="num" w:pos="709"/>
        </w:tabs>
        <w:suppressAutoHyphens/>
        <w:spacing w:line="360" w:lineRule="auto"/>
        <w:ind w:left="706"/>
        <w:jc w:val="both"/>
        <w:rPr>
          <w:sz w:val="26"/>
          <w:szCs w:val="26"/>
          <w:lang w:val="ro-RO"/>
        </w:rPr>
      </w:pPr>
      <w:r w:rsidRPr="00D17A3E">
        <w:rPr>
          <w:sz w:val="26"/>
          <w:szCs w:val="26"/>
          <w:lang w:val="ro-RO"/>
        </w:rPr>
        <w:t>au fost comunicate un număr de 40.012 somaţii către operatorii economici cu datorii la bugetul general consolidat, în valoare totala de  579,45 mil. lei;</w:t>
      </w:r>
    </w:p>
    <w:p w:rsidR="00E27E10" w:rsidRPr="00D17A3E" w:rsidRDefault="00E27E10" w:rsidP="00232FD9">
      <w:pPr>
        <w:numPr>
          <w:ilvl w:val="0"/>
          <w:numId w:val="5"/>
        </w:numPr>
        <w:tabs>
          <w:tab w:val="num" w:pos="709"/>
        </w:tabs>
        <w:suppressAutoHyphens/>
        <w:spacing w:line="360" w:lineRule="auto"/>
        <w:ind w:left="706"/>
        <w:jc w:val="both"/>
        <w:rPr>
          <w:sz w:val="26"/>
          <w:szCs w:val="26"/>
          <w:lang w:val="ro-RO"/>
        </w:rPr>
      </w:pPr>
      <w:r w:rsidRPr="00D17A3E">
        <w:rPr>
          <w:sz w:val="26"/>
          <w:szCs w:val="26"/>
          <w:lang w:val="ro-RO"/>
        </w:rPr>
        <w:t>au fost înfiinţate 5.412 popriri asupra  disponibilităţilor  din conturile bancare pentru suma de  441,58 mil. lei.</w:t>
      </w:r>
    </w:p>
    <w:p w:rsidR="00E27E10" w:rsidRPr="00D17A3E" w:rsidRDefault="00E27E10" w:rsidP="00232FD9">
      <w:pPr>
        <w:numPr>
          <w:ilvl w:val="0"/>
          <w:numId w:val="5"/>
        </w:numPr>
        <w:tabs>
          <w:tab w:val="num" w:pos="709"/>
        </w:tabs>
        <w:suppressAutoHyphens/>
        <w:spacing w:line="360" w:lineRule="auto"/>
        <w:ind w:left="706"/>
        <w:jc w:val="both"/>
        <w:rPr>
          <w:sz w:val="26"/>
          <w:szCs w:val="26"/>
          <w:lang w:val="ro-RO"/>
        </w:rPr>
      </w:pPr>
      <w:r w:rsidRPr="00D17A3E">
        <w:rPr>
          <w:sz w:val="26"/>
          <w:szCs w:val="26"/>
          <w:lang w:val="ro-RO"/>
        </w:rPr>
        <w:t>au fost instituite 2.475 popriri la terţi pentru suma totală de 34,21 mil. lei.</w:t>
      </w:r>
    </w:p>
    <w:p w:rsidR="00E27E10" w:rsidRPr="00D17A3E" w:rsidRDefault="00E27E10" w:rsidP="00232FD9">
      <w:pPr>
        <w:numPr>
          <w:ilvl w:val="0"/>
          <w:numId w:val="5"/>
        </w:numPr>
        <w:tabs>
          <w:tab w:val="num" w:pos="709"/>
        </w:tabs>
        <w:suppressAutoHyphens/>
        <w:spacing w:line="360" w:lineRule="auto"/>
        <w:ind w:left="706"/>
        <w:jc w:val="both"/>
        <w:rPr>
          <w:sz w:val="26"/>
          <w:szCs w:val="26"/>
          <w:lang w:val="ro-RO"/>
        </w:rPr>
      </w:pPr>
      <w:r w:rsidRPr="00D17A3E">
        <w:rPr>
          <w:sz w:val="26"/>
          <w:szCs w:val="26"/>
          <w:lang w:val="ro-RO"/>
        </w:rPr>
        <w:t>au fost înfiinţate un numar de 13 sechestre asupra bunurilor mobile în valoare de 1,21 mil. lei.</w:t>
      </w:r>
    </w:p>
    <w:p w:rsidR="00E27E10" w:rsidRPr="00D17A3E" w:rsidRDefault="00E27E10" w:rsidP="00232FD9">
      <w:pPr>
        <w:numPr>
          <w:ilvl w:val="0"/>
          <w:numId w:val="5"/>
        </w:numPr>
        <w:tabs>
          <w:tab w:val="clear" w:pos="1637"/>
          <w:tab w:val="num" w:pos="709"/>
        </w:tabs>
        <w:suppressAutoHyphens/>
        <w:spacing w:line="360" w:lineRule="auto"/>
        <w:ind w:left="706"/>
        <w:jc w:val="both"/>
        <w:rPr>
          <w:sz w:val="26"/>
          <w:szCs w:val="26"/>
          <w:lang w:val="ro-RO"/>
        </w:rPr>
      </w:pPr>
      <w:r w:rsidRPr="00D17A3E">
        <w:rPr>
          <w:sz w:val="26"/>
          <w:szCs w:val="26"/>
          <w:lang w:val="ro-RO"/>
        </w:rPr>
        <w:t>au fost instituite un număr de 7 sechestre asupra bunurilor imobile în sumă de 3,10 mil. lei.</w:t>
      </w:r>
    </w:p>
    <w:p w:rsidR="00E27E10" w:rsidRPr="00D17A3E" w:rsidRDefault="00E27E10" w:rsidP="00232FD9">
      <w:pPr>
        <w:pStyle w:val="BodyText"/>
        <w:tabs>
          <w:tab w:val="left" w:pos="1440"/>
        </w:tabs>
        <w:rPr>
          <w:sz w:val="26"/>
          <w:szCs w:val="26"/>
          <w:lang w:val="ro-RO"/>
        </w:rPr>
      </w:pPr>
      <w:r w:rsidRPr="00D17A3E">
        <w:rPr>
          <w:sz w:val="26"/>
          <w:szCs w:val="26"/>
          <w:lang w:val="ro-RO"/>
        </w:rPr>
        <w:t xml:space="preserve">          Din valorificarea măsurilor de executare silită aplicate, la finele semestrului I 2021 au rezultat încasări în cuantum de </w:t>
      </w:r>
      <w:r w:rsidRPr="00D17A3E">
        <w:rPr>
          <w:b/>
          <w:bCs/>
          <w:sz w:val="26"/>
          <w:szCs w:val="26"/>
          <w:lang w:val="ro-RO"/>
        </w:rPr>
        <w:t>70,27 mil. lei</w:t>
      </w:r>
      <w:r w:rsidRPr="00D17A3E">
        <w:rPr>
          <w:sz w:val="26"/>
          <w:szCs w:val="26"/>
          <w:lang w:val="ro-RO"/>
        </w:rPr>
        <w:t xml:space="preserve">. </w:t>
      </w:r>
    </w:p>
    <w:p w:rsidR="00E27E10" w:rsidRPr="00D17A3E" w:rsidRDefault="00E27E10" w:rsidP="00232FD9">
      <w:pPr>
        <w:pStyle w:val="BodyText"/>
        <w:tabs>
          <w:tab w:val="left" w:pos="1440"/>
        </w:tabs>
        <w:rPr>
          <w:sz w:val="26"/>
          <w:szCs w:val="26"/>
          <w:lang w:val="ro-RO"/>
        </w:rPr>
      </w:pPr>
    </w:p>
    <w:p w:rsidR="00E27E10" w:rsidRPr="00D17A3E" w:rsidRDefault="00E27E10" w:rsidP="00AF0AE9">
      <w:pPr>
        <w:autoSpaceDE w:val="0"/>
        <w:autoSpaceDN w:val="0"/>
        <w:adjustRightInd w:val="0"/>
        <w:jc w:val="both"/>
        <w:rPr>
          <w:sz w:val="26"/>
          <w:szCs w:val="26"/>
          <w:lang w:val="ro-RO"/>
        </w:rPr>
      </w:pPr>
      <w:r w:rsidRPr="00D17A3E">
        <w:rPr>
          <w:sz w:val="26"/>
          <w:szCs w:val="26"/>
          <w:lang w:val="ro-RO"/>
        </w:rPr>
        <w:t xml:space="preserve">    </w:t>
      </w:r>
      <w:r w:rsidRPr="00D17A3E">
        <w:rPr>
          <w:sz w:val="26"/>
          <w:szCs w:val="26"/>
          <w:lang w:val="ro-RO"/>
        </w:rPr>
        <w:tab/>
      </w:r>
      <w:r w:rsidRPr="00D17A3E">
        <w:rPr>
          <w:sz w:val="26"/>
          <w:szCs w:val="26"/>
          <w:u w:val="single"/>
          <w:lang w:val="ro-RO"/>
        </w:rPr>
        <w:t xml:space="preserve">c) </w:t>
      </w:r>
      <w:r>
        <w:rPr>
          <w:sz w:val="26"/>
          <w:szCs w:val="26"/>
          <w:u w:val="single"/>
          <w:lang w:val="ro-RO"/>
        </w:rPr>
        <w:t>f</w:t>
      </w:r>
      <w:r w:rsidRPr="00D17A3E">
        <w:rPr>
          <w:sz w:val="26"/>
          <w:szCs w:val="26"/>
          <w:u w:val="single"/>
          <w:lang w:val="ro-RO"/>
        </w:rPr>
        <w:t>acilităţi</w:t>
      </w:r>
      <w:r>
        <w:rPr>
          <w:sz w:val="26"/>
          <w:szCs w:val="26"/>
          <w:u w:val="single"/>
          <w:lang w:val="ro-RO"/>
        </w:rPr>
        <w:t>le</w:t>
      </w:r>
      <w:r w:rsidRPr="00D17A3E">
        <w:rPr>
          <w:sz w:val="26"/>
          <w:szCs w:val="26"/>
          <w:u w:val="single"/>
          <w:lang w:val="ro-RO"/>
        </w:rPr>
        <w:t xml:space="preserve"> fiscale acordate în semestrul I 2021</w:t>
      </w:r>
      <w:r w:rsidRPr="00D17A3E">
        <w:rPr>
          <w:sz w:val="26"/>
          <w:szCs w:val="26"/>
          <w:lang w:val="ro-RO"/>
        </w:rPr>
        <w:t>, ca urmare a măsurilor de susţinere a contribuabililor , care s-au confruntat cu lipsa lichidităților cu efecte asupra solvabilității .</w:t>
      </w:r>
    </w:p>
    <w:p w:rsidR="00E27E10" w:rsidRPr="00D17A3E" w:rsidRDefault="00E27E10" w:rsidP="00AF0AE9">
      <w:pPr>
        <w:pStyle w:val="BodyText"/>
        <w:tabs>
          <w:tab w:val="left" w:pos="1440"/>
        </w:tabs>
        <w:rPr>
          <w:sz w:val="26"/>
          <w:szCs w:val="26"/>
          <w:lang w:val="ro-RO"/>
        </w:rPr>
      </w:pPr>
      <w:r w:rsidRPr="00D17A3E">
        <w:rPr>
          <w:sz w:val="26"/>
          <w:szCs w:val="26"/>
          <w:lang w:val="ro-RO"/>
        </w:rPr>
        <w:t xml:space="preserve"> </w:t>
      </w:r>
      <w:r w:rsidRPr="00D17A3E">
        <w:rPr>
          <w:sz w:val="26"/>
          <w:szCs w:val="26"/>
          <w:lang w:val="ro-RO"/>
        </w:rPr>
        <w:tab/>
      </w:r>
    </w:p>
    <w:p w:rsidR="00E27E10" w:rsidRPr="00D17A3E" w:rsidRDefault="00E27E10" w:rsidP="00AF0AE9">
      <w:pPr>
        <w:pStyle w:val="BodyText"/>
        <w:tabs>
          <w:tab w:val="left" w:pos="1440"/>
        </w:tabs>
        <w:rPr>
          <w:sz w:val="26"/>
          <w:szCs w:val="26"/>
          <w:lang w:val="ro-RO"/>
        </w:rPr>
      </w:pPr>
      <w:r w:rsidRPr="00D17A3E">
        <w:rPr>
          <w:sz w:val="26"/>
          <w:szCs w:val="26"/>
          <w:lang w:val="ro-RO"/>
        </w:rPr>
        <w:tab/>
        <w:t>Aceste măsuri au inclus:</w:t>
      </w:r>
    </w:p>
    <w:p w:rsidR="00E27E10" w:rsidRPr="00D17A3E" w:rsidRDefault="00E27E10" w:rsidP="00AF0AE9">
      <w:pPr>
        <w:pStyle w:val="BodyText"/>
        <w:tabs>
          <w:tab w:val="left" w:pos="1440"/>
        </w:tabs>
        <w:rPr>
          <w:sz w:val="26"/>
          <w:szCs w:val="26"/>
          <w:lang w:val="ro-RO"/>
        </w:rPr>
      </w:pPr>
    </w:p>
    <w:p w:rsidR="00E27E10" w:rsidRPr="00D17A3E" w:rsidRDefault="00E27E10" w:rsidP="00AF0AE9">
      <w:pPr>
        <w:numPr>
          <w:ilvl w:val="0"/>
          <w:numId w:val="17"/>
        </w:numPr>
        <w:tabs>
          <w:tab w:val="clear" w:pos="1500"/>
          <w:tab w:val="num" w:pos="0"/>
        </w:tabs>
        <w:autoSpaceDE w:val="0"/>
        <w:autoSpaceDN w:val="0"/>
        <w:adjustRightInd w:val="0"/>
        <w:ind w:left="0" w:firstLine="1140"/>
        <w:jc w:val="both"/>
        <w:rPr>
          <w:sz w:val="26"/>
          <w:szCs w:val="26"/>
          <w:lang w:val="ro-RO"/>
        </w:rPr>
      </w:pPr>
      <w:r w:rsidRPr="00D17A3E">
        <w:rPr>
          <w:sz w:val="26"/>
          <w:szCs w:val="26"/>
          <w:lang w:val="ro-RO"/>
        </w:rPr>
        <w:t xml:space="preserve">eșalonarea la plată  în formă simplificată(OUG 181/2020) pentru un număr de 820 de agenţi economici; </w:t>
      </w:r>
    </w:p>
    <w:p w:rsidR="00E27E10" w:rsidRPr="00D17A3E" w:rsidRDefault="00E27E10" w:rsidP="00AF0AE9">
      <w:pPr>
        <w:numPr>
          <w:ilvl w:val="0"/>
          <w:numId w:val="17"/>
        </w:numPr>
        <w:tabs>
          <w:tab w:val="clear" w:pos="1500"/>
          <w:tab w:val="num" w:pos="0"/>
        </w:tabs>
        <w:autoSpaceDE w:val="0"/>
        <w:autoSpaceDN w:val="0"/>
        <w:adjustRightInd w:val="0"/>
        <w:ind w:left="0" w:firstLine="1140"/>
        <w:jc w:val="both"/>
        <w:rPr>
          <w:sz w:val="26"/>
          <w:szCs w:val="26"/>
          <w:lang w:val="ro-RO"/>
        </w:rPr>
      </w:pPr>
      <w:r w:rsidRPr="00D17A3E">
        <w:rPr>
          <w:sz w:val="26"/>
          <w:szCs w:val="26"/>
          <w:lang w:val="ro-RO"/>
        </w:rPr>
        <w:t xml:space="preserve">amânarea la plată şi  anularea dobânzilor și penalităților (OUG 69/2020) pentru 647 de  agenţi economici; </w:t>
      </w:r>
    </w:p>
    <w:p w:rsidR="00E27E10" w:rsidRPr="00D17A3E" w:rsidRDefault="00E27E10" w:rsidP="00AF0AE9">
      <w:pPr>
        <w:numPr>
          <w:ilvl w:val="0"/>
          <w:numId w:val="17"/>
        </w:numPr>
        <w:tabs>
          <w:tab w:val="clear" w:pos="1500"/>
          <w:tab w:val="num" w:pos="0"/>
        </w:tabs>
        <w:autoSpaceDE w:val="0"/>
        <w:autoSpaceDN w:val="0"/>
        <w:adjustRightInd w:val="0"/>
        <w:ind w:left="0" w:firstLine="1140"/>
        <w:jc w:val="both"/>
        <w:rPr>
          <w:sz w:val="26"/>
          <w:szCs w:val="26"/>
          <w:lang w:val="ro-RO"/>
        </w:rPr>
      </w:pPr>
      <w:r w:rsidRPr="00D17A3E">
        <w:rPr>
          <w:sz w:val="26"/>
          <w:szCs w:val="26"/>
          <w:lang w:val="ro-RO"/>
        </w:rPr>
        <w:t>eşalonare</w:t>
      </w:r>
      <w:r>
        <w:rPr>
          <w:sz w:val="26"/>
          <w:szCs w:val="26"/>
          <w:lang w:val="ro-RO"/>
        </w:rPr>
        <w:t>a</w:t>
      </w:r>
      <w:r w:rsidRPr="00D17A3E">
        <w:rPr>
          <w:sz w:val="26"/>
          <w:szCs w:val="26"/>
          <w:lang w:val="ro-RO"/>
        </w:rPr>
        <w:t xml:space="preserve"> la plată  conform Legii 207/2015 privind Codul de procedură fiscală pentru un număr de 33 de contribuabili. La data de 30.06.2021, la nivelul AJFP Buzău erau în derulare un număr de 173 eşalonări la plată a obligaţiilor fiscale.</w:t>
      </w:r>
    </w:p>
    <w:p w:rsidR="00E27E10" w:rsidRPr="00D17A3E" w:rsidRDefault="00E27E10" w:rsidP="00AA6338">
      <w:pPr>
        <w:pStyle w:val="BodyText"/>
        <w:rPr>
          <w:sz w:val="26"/>
          <w:szCs w:val="26"/>
          <w:lang w:val="ro-RO"/>
        </w:rPr>
      </w:pPr>
    </w:p>
    <w:p w:rsidR="00E27E10" w:rsidRPr="00D17A3E" w:rsidRDefault="00E27E10" w:rsidP="00AF0AE9">
      <w:pPr>
        <w:pStyle w:val="BodyText"/>
        <w:ind w:left="720"/>
        <w:rPr>
          <w:sz w:val="26"/>
          <w:szCs w:val="26"/>
          <w:u w:val="single"/>
          <w:lang w:val="ro-RO"/>
        </w:rPr>
      </w:pPr>
      <w:r w:rsidRPr="00D17A3E">
        <w:rPr>
          <w:sz w:val="26"/>
          <w:szCs w:val="26"/>
          <w:u w:val="single"/>
          <w:lang w:val="ro-RO"/>
        </w:rPr>
        <w:t xml:space="preserve">d) </w:t>
      </w:r>
      <w:r>
        <w:rPr>
          <w:sz w:val="26"/>
          <w:szCs w:val="26"/>
          <w:u w:val="single"/>
          <w:lang w:val="ro-RO"/>
        </w:rPr>
        <w:t>a</w:t>
      </w:r>
      <w:r w:rsidRPr="00D17A3E">
        <w:rPr>
          <w:sz w:val="26"/>
          <w:szCs w:val="26"/>
          <w:u w:val="single"/>
          <w:lang w:val="ro-RO"/>
        </w:rPr>
        <w:t>ctivităţi</w:t>
      </w:r>
      <w:r>
        <w:rPr>
          <w:sz w:val="26"/>
          <w:szCs w:val="26"/>
          <w:u w:val="single"/>
          <w:lang w:val="ro-RO"/>
        </w:rPr>
        <w:t>le</w:t>
      </w:r>
      <w:r w:rsidRPr="00D17A3E">
        <w:rPr>
          <w:sz w:val="26"/>
          <w:szCs w:val="26"/>
          <w:u w:val="single"/>
          <w:lang w:val="ro-RO"/>
        </w:rPr>
        <w:t xml:space="preserve"> de inspecţie fiscală</w:t>
      </w:r>
    </w:p>
    <w:p w:rsidR="00E27E10" w:rsidRPr="00D17A3E" w:rsidRDefault="00E27E10" w:rsidP="00AA6338">
      <w:pPr>
        <w:pStyle w:val="BodyText"/>
        <w:rPr>
          <w:sz w:val="26"/>
          <w:szCs w:val="26"/>
          <w:u w:val="single"/>
          <w:lang w:val="ro-RO"/>
        </w:rPr>
      </w:pPr>
    </w:p>
    <w:p w:rsidR="00E27E10" w:rsidRPr="00D17A3E" w:rsidRDefault="00E27E10" w:rsidP="00B677BE">
      <w:pPr>
        <w:pStyle w:val="BodyText"/>
        <w:ind w:firstLine="720"/>
        <w:rPr>
          <w:sz w:val="26"/>
          <w:szCs w:val="26"/>
          <w:lang w:val="ro-RO"/>
        </w:rPr>
      </w:pPr>
      <w:r w:rsidRPr="00D17A3E">
        <w:rPr>
          <w:sz w:val="26"/>
          <w:szCs w:val="26"/>
          <w:lang w:val="ro-RO"/>
        </w:rPr>
        <w:t>În semestrul I 2021, inspecţia fiscală s-a axat pe verificarea activităţii contribuabililor cu risc fiscal  mare şi pentru soluţionarea deconturilor negative cu opţiune de rambursare , astfel:</w:t>
      </w:r>
    </w:p>
    <w:p w:rsidR="00E27E10" w:rsidRPr="00D17A3E" w:rsidRDefault="00E27E10" w:rsidP="00B677BE">
      <w:pPr>
        <w:pStyle w:val="BodyText"/>
        <w:ind w:firstLine="720"/>
        <w:rPr>
          <w:sz w:val="26"/>
          <w:szCs w:val="26"/>
          <w:lang w:val="ro-RO"/>
        </w:rPr>
      </w:pPr>
    </w:p>
    <w:p w:rsidR="00E27E10" w:rsidRPr="00D17A3E" w:rsidRDefault="00E27E10" w:rsidP="00B677BE">
      <w:pPr>
        <w:pStyle w:val="BodyText"/>
        <w:numPr>
          <w:ilvl w:val="0"/>
          <w:numId w:val="11"/>
        </w:numPr>
        <w:tabs>
          <w:tab w:val="left" w:pos="1134"/>
        </w:tabs>
        <w:spacing w:before="120"/>
        <w:ind w:left="0" w:firstLine="709"/>
        <w:rPr>
          <w:sz w:val="26"/>
          <w:szCs w:val="26"/>
          <w:lang w:val="it-IT"/>
        </w:rPr>
      </w:pPr>
      <w:r w:rsidRPr="00D17A3E">
        <w:rPr>
          <w:sz w:val="26"/>
          <w:szCs w:val="26"/>
          <w:lang w:val="it-IT"/>
        </w:rPr>
        <w:t>s-au efectuat 211 verificări la operatorii, din care:</w:t>
      </w:r>
    </w:p>
    <w:p w:rsidR="00E27E10" w:rsidRPr="00D17A3E" w:rsidRDefault="00E27E10" w:rsidP="00B677BE">
      <w:pPr>
        <w:pStyle w:val="BodyText"/>
        <w:numPr>
          <w:ilvl w:val="0"/>
          <w:numId w:val="10"/>
        </w:numPr>
        <w:ind w:left="1985" w:hanging="851"/>
        <w:rPr>
          <w:sz w:val="26"/>
          <w:szCs w:val="26"/>
          <w:lang w:val="it-IT"/>
        </w:rPr>
      </w:pPr>
      <w:r w:rsidRPr="00D17A3E">
        <w:rPr>
          <w:sz w:val="26"/>
          <w:szCs w:val="26"/>
          <w:lang w:val="it-IT"/>
        </w:rPr>
        <w:t>175 inspecţii fiscale ;</w:t>
      </w:r>
    </w:p>
    <w:p w:rsidR="00E27E10" w:rsidRPr="00D17A3E" w:rsidRDefault="00E27E10" w:rsidP="00B677BE">
      <w:pPr>
        <w:pStyle w:val="BodyText"/>
        <w:numPr>
          <w:ilvl w:val="0"/>
          <w:numId w:val="10"/>
        </w:numPr>
        <w:ind w:left="1985" w:hanging="851"/>
        <w:rPr>
          <w:sz w:val="26"/>
          <w:szCs w:val="26"/>
          <w:lang w:val="it-IT"/>
        </w:rPr>
      </w:pPr>
      <w:r w:rsidRPr="00D17A3E">
        <w:rPr>
          <w:sz w:val="26"/>
          <w:szCs w:val="26"/>
          <w:lang w:val="it-IT"/>
        </w:rPr>
        <w:t xml:space="preserve">  36 controale inopinate.</w:t>
      </w:r>
    </w:p>
    <w:p w:rsidR="00E27E10" w:rsidRPr="00D17A3E" w:rsidRDefault="00E27E10" w:rsidP="00B677BE">
      <w:pPr>
        <w:pStyle w:val="BodyText"/>
        <w:tabs>
          <w:tab w:val="left" w:pos="1701"/>
        </w:tabs>
        <w:ind w:left="1434" w:right="270"/>
        <w:rPr>
          <w:sz w:val="26"/>
          <w:szCs w:val="26"/>
          <w:lang w:val="it-IT"/>
        </w:rPr>
      </w:pPr>
    </w:p>
    <w:p w:rsidR="00E27E10" w:rsidRPr="008467EE" w:rsidRDefault="00E27E10" w:rsidP="00BB7202">
      <w:pPr>
        <w:pStyle w:val="BodyText"/>
        <w:numPr>
          <w:ilvl w:val="0"/>
          <w:numId w:val="11"/>
        </w:numPr>
        <w:tabs>
          <w:tab w:val="left" w:pos="1134"/>
        </w:tabs>
        <w:ind w:left="0" w:firstLine="709"/>
        <w:rPr>
          <w:sz w:val="26"/>
          <w:szCs w:val="26"/>
          <w:lang w:val="it-IT"/>
        </w:rPr>
      </w:pPr>
      <w:r w:rsidRPr="008467EE">
        <w:rPr>
          <w:sz w:val="26"/>
          <w:szCs w:val="26"/>
          <w:lang w:val="it-IT"/>
        </w:rPr>
        <w:t xml:space="preserve">au fost stabilite obligaţii de plată suplimentare în valoare totală de 9,99 mil. lei (8,46 mil. lei la contribuabili persoane juridice şi 1,53 mil. lei la contribuabili persoane fizice);                                                                                                 </w:t>
      </w:r>
    </w:p>
    <w:p w:rsidR="00E27E10" w:rsidRPr="00D17A3E" w:rsidRDefault="00E27E10" w:rsidP="00B677BE">
      <w:pPr>
        <w:pStyle w:val="BodyText"/>
        <w:numPr>
          <w:ilvl w:val="0"/>
          <w:numId w:val="11"/>
        </w:numPr>
        <w:tabs>
          <w:tab w:val="left" w:pos="1134"/>
        </w:tabs>
        <w:ind w:left="0" w:firstLine="709"/>
        <w:rPr>
          <w:sz w:val="26"/>
          <w:szCs w:val="26"/>
          <w:lang w:val="fr-FR"/>
        </w:rPr>
      </w:pPr>
      <w:r w:rsidRPr="00D17A3E">
        <w:rPr>
          <w:sz w:val="26"/>
          <w:szCs w:val="26"/>
          <w:lang w:val="fr-FR"/>
        </w:rPr>
        <w:lastRenderedPageBreak/>
        <w:t>au fost înaintate organelor de urmărire penală 2 sesizări, pentru un prejudiciu total de 2,01 mil. lei;</w:t>
      </w:r>
    </w:p>
    <w:p w:rsidR="00E27E10" w:rsidRPr="00D17A3E" w:rsidRDefault="00E27E10" w:rsidP="00B677BE">
      <w:pPr>
        <w:pStyle w:val="BodyText"/>
        <w:numPr>
          <w:ilvl w:val="0"/>
          <w:numId w:val="11"/>
        </w:numPr>
        <w:tabs>
          <w:tab w:val="left" w:pos="1134"/>
        </w:tabs>
        <w:ind w:left="0" w:firstLine="709"/>
        <w:rPr>
          <w:sz w:val="26"/>
          <w:szCs w:val="26"/>
          <w:lang w:val="fr-FR"/>
        </w:rPr>
      </w:pPr>
      <w:r w:rsidRPr="00D17A3E">
        <w:rPr>
          <w:sz w:val="26"/>
          <w:szCs w:val="26"/>
          <w:lang w:val="fr-FR"/>
        </w:rPr>
        <w:t>au fost instituite 14 măsuri asigurătorii în valoare totală de 4,37 mil. lei;</w:t>
      </w:r>
    </w:p>
    <w:p w:rsidR="00E27E10" w:rsidRPr="00D17A3E" w:rsidRDefault="00E27E10" w:rsidP="00B677BE">
      <w:pPr>
        <w:pStyle w:val="BodyText"/>
        <w:numPr>
          <w:ilvl w:val="0"/>
          <w:numId w:val="11"/>
        </w:numPr>
        <w:tabs>
          <w:tab w:val="left" w:pos="1134"/>
        </w:tabs>
        <w:ind w:left="0" w:firstLine="709"/>
        <w:rPr>
          <w:sz w:val="26"/>
          <w:szCs w:val="26"/>
          <w:lang w:val="fr-FR"/>
        </w:rPr>
      </w:pPr>
      <w:r w:rsidRPr="00D17A3E">
        <w:rPr>
          <w:sz w:val="26"/>
          <w:szCs w:val="26"/>
          <w:lang w:val="fr-FR"/>
        </w:rPr>
        <w:t>la contribuabilii care au înregistrat pierdere fiscală, în semestrul I 2021 s-a stabilit o diminuare de pierdere fiscală în valoare totală de 5,36 mil. lei.</w:t>
      </w:r>
    </w:p>
    <w:p w:rsidR="00E27E10" w:rsidRPr="00D17A3E" w:rsidRDefault="00E27E10" w:rsidP="00B677BE">
      <w:pPr>
        <w:pStyle w:val="BodyText"/>
        <w:tabs>
          <w:tab w:val="left" w:pos="1134"/>
        </w:tabs>
        <w:rPr>
          <w:sz w:val="26"/>
          <w:szCs w:val="26"/>
          <w:lang w:val="fr-FR"/>
        </w:rPr>
      </w:pPr>
    </w:p>
    <w:p w:rsidR="00E27E10" w:rsidRPr="00D17A3E" w:rsidRDefault="00E27E10" w:rsidP="00D17A3E">
      <w:pPr>
        <w:pStyle w:val="BodyText"/>
        <w:ind w:firstLine="720"/>
        <w:rPr>
          <w:sz w:val="26"/>
          <w:szCs w:val="26"/>
          <w:lang w:val="ro-RO"/>
        </w:rPr>
      </w:pPr>
      <w:r w:rsidRPr="00D17A3E">
        <w:rPr>
          <w:sz w:val="26"/>
          <w:szCs w:val="26"/>
          <w:lang w:val="ro-RO"/>
        </w:rPr>
        <w:t>În concluzie,  în semestrul I 2021, prin activităţile desfăşurate , AJFP Buzău a depăşit programul de încasări venituri bugetare repartizat de ANAF ,  cu 6,75</w:t>
      </w:r>
      <w:r>
        <w:rPr>
          <w:sz w:val="26"/>
          <w:szCs w:val="26"/>
          <w:lang w:val="ro-RO"/>
        </w:rPr>
        <w:t>%</w:t>
      </w:r>
      <w:r w:rsidRPr="00D17A3E">
        <w:rPr>
          <w:sz w:val="26"/>
          <w:szCs w:val="26"/>
          <w:lang w:val="ro-RO"/>
        </w:rPr>
        <w:t xml:space="preserve"> , ceea ce reprezintă o sumă suplimentară de  68,86 mil.lei.</w:t>
      </w:r>
    </w:p>
    <w:p w:rsidR="00E27E10" w:rsidRPr="00D17A3E" w:rsidRDefault="00E27E10" w:rsidP="00B677BE">
      <w:pPr>
        <w:pStyle w:val="BodyText"/>
        <w:ind w:firstLine="720"/>
        <w:rPr>
          <w:sz w:val="26"/>
          <w:szCs w:val="26"/>
          <w:lang w:val="ro-RO"/>
        </w:rPr>
      </w:pPr>
      <w:r>
        <w:rPr>
          <w:sz w:val="26"/>
          <w:szCs w:val="26"/>
          <w:lang w:val="ro-RO"/>
        </w:rPr>
        <w:t xml:space="preserve">Activităţile </w:t>
      </w:r>
      <w:r w:rsidRPr="00D17A3E">
        <w:rPr>
          <w:sz w:val="26"/>
          <w:szCs w:val="26"/>
          <w:lang w:val="ro-RO"/>
        </w:rPr>
        <w:t>desf</w:t>
      </w:r>
      <w:r>
        <w:rPr>
          <w:sz w:val="26"/>
          <w:szCs w:val="26"/>
          <w:lang w:val="ro-RO"/>
        </w:rPr>
        <w:t>ă</w:t>
      </w:r>
      <w:r w:rsidRPr="00D17A3E">
        <w:rPr>
          <w:sz w:val="26"/>
          <w:szCs w:val="26"/>
          <w:lang w:val="ro-RO"/>
        </w:rPr>
        <w:t>şurate de  Administraţi</w:t>
      </w:r>
      <w:r>
        <w:rPr>
          <w:sz w:val="26"/>
          <w:szCs w:val="26"/>
          <w:lang w:val="ro-RO"/>
        </w:rPr>
        <w:t>a</w:t>
      </w:r>
      <w:r w:rsidRPr="00D17A3E">
        <w:rPr>
          <w:sz w:val="26"/>
          <w:szCs w:val="26"/>
          <w:lang w:val="ro-RO"/>
        </w:rPr>
        <w:t xml:space="preserve"> Judeţen</w:t>
      </w:r>
      <w:r>
        <w:rPr>
          <w:sz w:val="26"/>
          <w:szCs w:val="26"/>
          <w:lang w:val="ro-RO"/>
        </w:rPr>
        <w:t>ă</w:t>
      </w:r>
      <w:r w:rsidRPr="00D17A3E">
        <w:rPr>
          <w:sz w:val="26"/>
          <w:szCs w:val="26"/>
          <w:lang w:val="ro-RO"/>
        </w:rPr>
        <w:t xml:space="preserve"> a Finanţelor Publice Buzău </w:t>
      </w:r>
      <w:r>
        <w:rPr>
          <w:sz w:val="26"/>
          <w:szCs w:val="26"/>
          <w:lang w:val="ro-RO"/>
        </w:rPr>
        <w:t xml:space="preserve"> au ca scop permanent colectarea </w:t>
      </w:r>
      <w:r w:rsidRPr="00D17A3E">
        <w:rPr>
          <w:sz w:val="26"/>
          <w:szCs w:val="26"/>
          <w:lang w:val="ro-RO"/>
        </w:rPr>
        <w:t xml:space="preserve"> şi administra</w:t>
      </w:r>
      <w:r>
        <w:rPr>
          <w:sz w:val="26"/>
          <w:szCs w:val="26"/>
          <w:lang w:val="ro-RO"/>
        </w:rPr>
        <w:t>rea</w:t>
      </w:r>
      <w:r w:rsidRPr="00D17A3E">
        <w:rPr>
          <w:sz w:val="26"/>
          <w:szCs w:val="26"/>
          <w:lang w:val="ro-RO"/>
        </w:rPr>
        <w:t xml:space="preserve"> eficient</w:t>
      </w:r>
      <w:r>
        <w:rPr>
          <w:sz w:val="26"/>
          <w:szCs w:val="26"/>
          <w:lang w:val="ro-RO"/>
        </w:rPr>
        <w:t>ă</w:t>
      </w:r>
      <w:r w:rsidRPr="00D17A3E">
        <w:rPr>
          <w:sz w:val="26"/>
          <w:szCs w:val="26"/>
          <w:lang w:val="ro-RO"/>
        </w:rPr>
        <w:t xml:space="preserve"> </w:t>
      </w:r>
      <w:r>
        <w:rPr>
          <w:sz w:val="26"/>
          <w:szCs w:val="26"/>
          <w:lang w:val="ro-RO"/>
        </w:rPr>
        <w:t>a impozitelor</w:t>
      </w:r>
      <w:r w:rsidRPr="00D17A3E">
        <w:rPr>
          <w:sz w:val="26"/>
          <w:szCs w:val="26"/>
          <w:lang w:val="ro-RO"/>
        </w:rPr>
        <w:t>, taxel</w:t>
      </w:r>
      <w:r>
        <w:rPr>
          <w:sz w:val="26"/>
          <w:szCs w:val="26"/>
          <w:lang w:val="ro-RO"/>
        </w:rPr>
        <w:t>or</w:t>
      </w:r>
      <w:r w:rsidRPr="00D17A3E">
        <w:rPr>
          <w:sz w:val="26"/>
          <w:szCs w:val="26"/>
          <w:lang w:val="ro-RO"/>
        </w:rPr>
        <w:t>, contribuţii</w:t>
      </w:r>
      <w:r>
        <w:rPr>
          <w:sz w:val="26"/>
          <w:szCs w:val="26"/>
          <w:lang w:val="ro-RO"/>
        </w:rPr>
        <w:t>lor</w:t>
      </w:r>
      <w:r w:rsidRPr="00D17A3E">
        <w:rPr>
          <w:sz w:val="26"/>
          <w:szCs w:val="26"/>
          <w:lang w:val="ro-RO"/>
        </w:rPr>
        <w:t xml:space="preserve"> şi </w:t>
      </w:r>
      <w:r>
        <w:rPr>
          <w:sz w:val="26"/>
          <w:szCs w:val="26"/>
          <w:lang w:val="ro-RO"/>
        </w:rPr>
        <w:t xml:space="preserve">a altor </w:t>
      </w:r>
      <w:r w:rsidRPr="00D17A3E">
        <w:rPr>
          <w:sz w:val="26"/>
          <w:szCs w:val="26"/>
          <w:lang w:val="ro-RO"/>
        </w:rPr>
        <w:t xml:space="preserve"> sume datorate bugetului general consolidat.</w:t>
      </w:r>
    </w:p>
    <w:p w:rsidR="00E27E10" w:rsidRDefault="00E27E10" w:rsidP="00BB7202">
      <w:pPr>
        <w:pStyle w:val="BodyText"/>
        <w:ind w:firstLine="720"/>
        <w:rPr>
          <w:sz w:val="26"/>
          <w:szCs w:val="26"/>
          <w:lang w:val="ro-RO"/>
        </w:rPr>
      </w:pPr>
    </w:p>
    <w:p w:rsidR="00E27E10" w:rsidRPr="00D17A3E" w:rsidRDefault="00E27E10" w:rsidP="00BB7202">
      <w:pPr>
        <w:pStyle w:val="BodyText"/>
        <w:ind w:firstLine="720"/>
        <w:rPr>
          <w:sz w:val="26"/>
          <w:szCs w:val="26"/>
          <w:lang w:val="ro-RO"/>
        </w:rPr>
      </w:pPr>
    </w:p>
    <w:p w:rsidR="00E27E10" w:rsidRPr="00813D85" w:rsidRDefault="00E27E10" w:rsidP="00813D85">
      <w:pPr>
        <w:jc w:val="center"/>
        <w:rPr>
          <w:b/>
          <w:bCs/>
          <w:sz w:val="32"/>
          <w:szCs w:val="32"/>
          <w:lang w:val="pl-PL"/>
        </w:rPr>
      </w:pPr>
      <w:r w:rsidRPr="00813D85">
        <w:rPr>
          <w:b/>
          <w:bCs/>
          <w:sz w:val="32"/>
          <w:szCs w:val="32"/>
          <w:lang w:val="pl-PL"/>
        </w:rPr>
        <w:t>Nevoi şi dificultăţi întâmpinate în activitatea A.J.F.P.Buzău</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r>
        <w:rPr>
          <w:sz w:val="26"/>
          <w:szCs w:val="26"/>
          <w:lang w:val="ro-RO"/>
        </w:rPr>
        <w:t>Această perioadă, caracterizată prin provocări fără precedent pe plan mondial determinată de pandemia de Covid-19 , a influenţat  pe lângă mediul economic şi social şi activitatea instituţiei noastre.</w:t>
      </w:r>
    </w:p>
    <w:p w:rsidR="00E27E10" w:rsidRDefault="00E27E10" w:rsidP="00BB7202">
      <w:pPr>
        <w:pStyle w:val="BodyText"/>
        <w:ind w:firstLine="720"/>
        <w:rPr>
          <w:sz w:val="26"/>
          <w:szCs w:val="26"/>
          <w:lang w:val="ro-RO"/>
        </w:rPr>
      </w:pPr>
      <w:r>
        <w:rPr>
          <w:sz w:val="26"/>
          <w:szCs w:val="26"/>
          <w:lang w:val="ro-RO"/>
        </w:rPr>
        <w:t>În vederea  prevenirii răspândirii virusului Covid-19,  A.N.A.F. a dispus ca în această perioadă,  un procent de până la 70% dintre salariaţi să-şi desfăşoare activitatea în regim de muncă la domiciliu.</w:t>
      </w:r>
    </w:p>
    <w:p w:rsidR="00E27E10" w:rsidRDefault="00E27E10" w:rsidP="00BB7202">
      <w:pPr>
        <w:pStyle w:val="BodyText"/>
        <w:ind w:firstLine="720"/>
        <w:rPr>
          <w:sz w:val="26"/>
          <w:szCs w:val="26"/>
          <w:lang w:val="ro-RO"/>
        </w:rPr>
      </w:pPr>
      <w:r>
        <w:rPr>
          <w:sz w:val="26"/>
          <w:szCs w:val="26"/>
          <w:lang w:val="ro-RO"/>
        </w:rPr>
        <w:t>Principala problemă cu care ne-am confruntat a fost efortul depus pentru  asigurarea continuităţii activităţii, prin prestarea unui serviciu public de calitate în acelaşi timp cu asigurarea protecţiei, securităţii şi sănătăţii personalului A.J.F.P. Buzău cât şi a contribuabililor.</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EA7701">
      <w:pPr>
        <w:jc w:val="center"/>
        <w:rPr>
          <w:b/>
          <w:bCs/>
          <w:sz w:val="32"/>
          <w:szCs w:val="32"/>
          <w:lang w:val="pl-PL"/>
        </w:rPr>
      </w:pPr>
      <w:r w:rsidRPr="00EA7701">
        <w:rPr>
          <w:b/>
          <w:bCs/>
          <w:sz w:val="32"/>
          <w:szCs w:val="32"/>
          <w:lang w:val="pl-PL"/>
        </w:rPr>
        <w:t xml:space="preserve">Măsuri propuse pentru îmbunătăţirea activităţii </w:t>
      </w:r>
    </w:p>
    <w:p w:rsidR="00E27E10" w:rsidRPr="00EA7701" w:rsidRDefault="00E27E10" w:rsidP="00EA7701">
      <w:pPr>
        <w:jc w:val="center"/>
        <w:rPr>
          <w:b/>
          <w:bCs/>
          <w:sz w:val="32"/>
          <w:szCs w:val="32"/>
          <w:lang w:val="pl-PL"/>
        </w:rPr>
      </w:pPr>
      <w:r w:rsidRPr="00EA7701">
        <w:rPr>
          <w:b/>
          <w:bCs/>
          <w:sz w:val="32"/>
          <w:szCs w:val="32"/>
          <w:lang w:val="pl-PL"/>
        </w:rPr>
        <w:t>A</w:t>
      </w:r>
      <w:r>
        <w:rPr>
          <w:b/>
          <w:bCs/>
          <w:sz w:val="32"/>
          <w:szCs w:val="32"/>
          <w:lang w:val="pl-PL"/>
        </w:rPr>
        <w:t>.</w:t>
      </w:r>
      <w:r w:rsidRPr="00EA7701">
        <w:rPr>
          <w:b/>
          <w:bCs/>
          <w:sz w:val="32"/>
          <w:szCs w:val="32"/>
          <w:lang w:val="pl-PL"/>
        </w:rPr>
        <w:t>J</w:t>
      </w:r>
      <w:r>
        <w:rPr>
          <w:b/>
          <w:bCs/>
          <w:sz w:val="32"/>
          <w:szCs w:val="32"/>
          <w:lang w:val="pl-PL"/>
        </w:rPr>
        <w:t>.</w:t>
      </w:r>
      <w:r w:rsidRPr="00EA7701">
        <w:rPr>
          <w:b/>
          <w:bCs/>
          <w:sz w:val="32"/>
          <w:szCs w:val="32"/>
          <w:lang w:val="pl-PL"/>
        </w:rPr>
        <w:t>F</w:t>
      </w:r>
      <w:r>
        <w:rPr>
          <w:b/>
          <w:bCs/>
          <w:sz w:val="32"/>
          <w:szCs w:val="32"/>
          <w:lang w:val="pl-PL"/>
        </w:rPr>
        <w:t>.</w:t>
      </w:r>
      <w:r w:rsidRPr="00EA7701">
        <w:rPr>
          <w:b/>
          <w:bCs/>
          <w:sz w:val="32"/>
          <w:szCs w:val="32"/>
          <w:lang w:val="pl-PL"/>
        </w:rPr>
        <w:t>P</w:t>
      </w:r>
      <w:r>
        <w:rPr>
          <w:b/>
          <w:bCs/>
          <w:sz w:val="32"/>
          <w:szCs w:val="32"/>
          <w:lang w:val="pl-PL"/>
        </w:rPr>
        <w:t>.</w:t>
      </w:r>
      <w:r w:rsidRPr="00EA7701">
        <w:rPr>
          <w:b/>
          <w:bCs/>
          <w:sz w:val="32"/>
          <w:szCs w:val="32"/>
          <w:lang w:val="pl-PL"/>
        </w:rPr>
        <w:t xml:space="preserve"> Buzău</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r>
        <w:rPr>
          <w:sz w:val="26"/>
          <w:szCs w:val="26"/>
          <w:lang w:val="ro-RO"/>
        </w:rPr>
        <w:t>Măsurile propuse de către Administraţia Judeţeană a Finanţelor Publice Buzău pentru perioada următoare vor fi în concordanţă cu obiectivele şi măsurile stabilite de către A.N.A.F..</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r>
        <w:rPr>
          <w:sz w:val="26"/>
          <w:szCs w:val="26"/>
          <w:lang w:val="ro-RO"/>
        </w:rPr>
        <w:t>Obiectivele pentru perioada următoare sunt:</w:t>
      </w:r>
    </w:p>
    <w:p w:rsidR="00E27E10" w:rsidRDefault="00E27E10" w:rsidP="00BB7202">
      <w:pPr>
        <w:pStyle w:val="BodyText"/>
        <w:ind w:firstLine="720"/>
        <w:rPr>
          <w:sz w:val="26"/>
          <w:szCs w:val="26"/>
          <w:lang w:val="ro-RO"/>
        </w:rPr>
      </w:pPr>
      <w:r>
        <w:rPr>
          <w:sz w:val="26"/>
          <w:szCs w:val="26"/>
          <w:lang w:val="ro-RO"/>
        </w:rPr>
        <w:t>-îmbunătăţirea serviciilor oferite , prin dezvoltarea  unei relaţii de parteneriat cu contribuabilii pentru serviciile prestate;</w:t>
      </w:r>
    </w:p>
    <w:p w:rsidR="00E27E10" w:rsidRDefault="00E27E10" w:rsidP="00BB7202">
      <w:pPr>
        <w:pStyle w:val="BodyText"/>
        <w:ind w:firstLine="720"/>
        <w:rPr>
          <w:sz w:val="26"/>
          <w:szCs w:val="26"/>
          <w:lang w:val="ro-RO"/>
        </w:rPr>
      </w:pPr>
      <w:r>
        <w:rPr>
          <w:sz w:val="26"/>
          <w:szCs w:val="26"/>
          <w:lang w:val="ro-RO"/>
        </w:rPr>
        <w:t>-digitalizarea activităţii;</w:t>
      </w:r>
    </w:p>
    <w:p w:rsidR="00E27E10" w:rsidRDefault="00E27E10" w:rsidP="00BB7202">
      <w:pPr>
        <w:pStyle w:val="BodyText"/>
        <w:ind w:firstLine="720"/>
        <w:rPr>
          <w:sz w:val="26"/>
          <w:szCs w:val="26"/>
          <w:lang w:val="ro-RO"/>
        </w:rPr>
      </w:pPr>
      <w:r>
        <w:rPr>
          <w:sz w:val="26"/>
          <w:szCs w:val="26"/>
          <w:lang w:val="ro-RO"/>
        </w:rPr>
        <w:t>-prevenirea şi combaterea evaziunii fiscale;</w:t>
      </w:r>
    </w:p>
    <w:p w:rsidR="00E27E10" w:rsidRDefault="00E27E10" w:rsidP="00BB7202">
      <w:pPr>
        <w:pStyle w:val="BodyText"/>
        <w:ind w:firstLine="720"/>
        <w:rPr>
          <w:sz w:val="26"/>
          <w:szCs w:val="26"/>
          <w:lang w:val="ro-RO"/>
        </w:rPr>
      </w:pPr>
      <w:r>
        <w:rPr>
          <w:sz w:val="26"/>
          <w:szCs w:val="26"/>
          <w:lang w:val="ro-RO"/>
        </w:rPr>
        <w:t>-eficientizarea colectării veniturilor la bugetul general consolidat prin îndeplinirea  tuturor indicatorilor de performanţă.</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r>
        <w:rPr>
          <w:sz w:val="26"/>
          <w:szCs w:val="26"/>
          <w:lang w:val="ro-RO"/>
        </w:rPr>
        <w:lastRenderedPageBreak/>
        <w:t>Principalele măsuri propuse pentru îmbunătăţirea activităţii se vor axa pe următoarele:</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r>
        <w:rPr>
          <w:sz w:val="26"/>
          <w:szCs w:val="26"/>
          <w:lang w:val="ro-RO"/>
        </w:rPr>
        <w:t>-în contextul procesului de digitalizare se va continua dezvoltarea următoarelor proiecte:</w:t>
      </w:r>
    </w:p>
    <w:p w:rsidR="00E27E10" w:rsidRDefault="00E27E10" w:rsidP="00E92225">
      <w:pPr>
        <w:pStyle w:val="BodyText"/>
        <w:numPr>
          <w:ilvl w:val="0"/>
          <w:numId w:val="18"/>
        </w:numPr>
        <w:rPr>
          <w:sz w:val="26"/>
          <w:szCs w:val="26"/>
          <w:lang w:val="ro-RO"/>
        </w:rPr>
      </w:pPr>
      <w:r>
        <w:rPr>
          <w:sz w:val="26"/>
          <w:szCs w:val="26"/>
          <w:lang w:val="ro-RO"/>
        </w:rPr>
        <w:t>sistemul de poprire electronică;</w:t>
      </w:r>
    </w:p>
    <w:p w:rsidR="00E27E10" w:rsidRDefault="00E27E10" w:rsidP="00E92225">
      <w:pPr>
        <w:pStyle w:val="BodyText"/>
        <w:numPr>
          <w:ilvl w:val="0"/>
          <w:numId w:val="18"/>
        </w:numPr>
        <w:rPr>
          <w:sz w:val="26"/>
          <w:szCs w:val="26"/>
          <w:lang w:val="ro-RO"/>
        </w:rPr>
      </w:pPr>
      <w:r>
        <w:rPr>
          <w:sz w:val="26"/>
          <w:szCs w:val="26"/>
          <w:lang w:val="ro-RO"/>
        </w:rPr>
        <w:t>simplificarea fişei analitice pe plătitor în cazul persoanelor juridice;</w:t>
      </w:r>
    </w:p>
    <w:p w:rsidR="00E27E10" w:rsidRDefault="00E27E10" w:rsidP="00E92225">
      <w:pPr>
        <w:pStyle w:val="BodyText"/>
        <w:numPr>
          <w:ilvl w:val="0"/>
          <w:numId w:val="18"/>
        </w:numPr>
        <w:rPr>
          <w:sz w:val="26"/>
          <w:szCs w:val="26"/>
          <w:lang w:val="ro-RO"/>
        </w:rPr>
      </w:pPr>
      <w:r>
        <w:rPr>
          <w:sz w:val="26"/>
          <w:szCs w:val="26"/>
          <w:lang w:val="ro-RO"/>
        </w:rPr>
        <w:t>identificarea vizuală on-line, în vederea înrolării de la distanţă în SPV;</w:t>
      </w:r>
    </w:p>
    <w:p w:rsidR="00E27E10" w:rsidRDefault="00E27E10" w:rsidP="00E92225">
      <w:pPr>
        <w:pStyle w:val="BodyText"/>
        <w:numPr>
          <w:ilvl w:val="0"/>
          <w:numId w:val="18"/>
        </w:numPr>
        <w:rPr>
          <w:sz w:val="26"/>
          <w:szCs w:val="26"/>
          <w:lang w:val="ro-RO"/>
        </w:rPr>
      </w:pPr>
      <w:r>
        <w:rPr>
          <w:sz w:val="26"/>
          <w:szCs w:val="26"/>
          <w:lang w:val="ro-RO"/>
        </w:rPr>
        <w:t>programarea on-line pentru asistenţă a contribuabililor  la sediul unităţilor fiscale;</w:t>
      </w:r>
    </w:p>
    <w:p w:rsidR="00E27E10" w:rsidRDefault="00E27E10" w:rsidP="00E92225">
      <w:pPr>
        <w:pStyle w:val="BodyText"/>
        <w:numPr>
          <w:ilvl w:val="0"/>
          <w:numId w:val="18"/>
        </w:numPr>
        <w:rPr>
          <w:sz w:val="26"/>
          <w:szCs w:val="26"/>
          <w:lang w:val="ro-RO"/>
        </w:rPr>
      </w:pPr>
      <w:r>
        <w:rPr>
          <w:sz w:val="26"/>
          <w:szCs w:val="26"/>
          <w:lang w:val="ro-RO"/>
        </w:rPr>
        <w:t>mediatizarea utilizării  Spaţiului Privat Virtual.</w:t>
      </w:r>
    </w:p>
    <w:p w:rsidR="00E27E10" w:rsidRDefault="00E27E10" w:rsidP="00E92225">
      <w:pPr>
        <w:pStyle w:val="BodyText"/>
        <w:rPr>
          <w:sz w:val="26"/>
          <w:szCs w:val="26"/>
          <w:lang w:val="ro-RO"/>
        </w:rPr>
      </w:pPr>
    </w:p>
    <w:p w:rsidR="00E27E10" w:rsidRDefault="00E27E10" w:rsidP="00E92225">
      <w:pPr>
        <w:pStyle w:val="BodyText"/>
        <w:ind w:firstLine="720"/>
        <w:rPr>
          <w:sz w:val="26"/>
          <w:szCs w:val="26"/>
          <w:lang w:val="ro-RO"/>
        </w:rPr>
      </w:pPr>
      <w:r>
        <w:rPr>
          <w:sz w:val="26"/>
          <w:szCs w:val="26"/>
          <w:lang w:val="ro-RO"/>
        </w:rPr>
        <w:t>-gestionarea eficientă a resurselor umane prin asigurarea permanentă a pregătirii profesionale;</w:t>
      </w:r>
    </w:p>
    <w:p w:rsidR="00E27E10" w:rsidRDefault="00E27E10" w:rsidP="00436196">
      <w:pPr>
        <w:pStyle w:val="BodyText"/>
        <w:rPr>
          <w:sz w:val="26"/>
          <w:szCs w:val="26"/>
          <w:lang w:val="ro-RO"/>
        </w:rPr>
      </w:pPr>
      <w:r>
        <w:rPr>
          <w:sz w:val="26"/>
          <w:szCs w:val="26"/>
          <w:lang w:val="ro-RO"/>
        </w:rPr>
        <w:tab/>
        <w:t>-îmbunătăţirea comunicării cu contribuabilii şi migrarea acestei comunicări către mediul electronic , dezvoltând permanent o relaţie corectă şi transparentă cu cetăţenii;</w:t>
      </w:r>
    </w:p>
    <w:p w:rsidR="00E27E10" w:rsidRDefault="00E27E10" w:rsidP="00436196">
      <w:pPr>
        <w:pStyle w:val="BodyText"/>
        <w:rPr>
          <w:sz w:val="26"/>
          <w:szCs w:val="26"/>
          <w:lang w:val="ro-RO"/>
        </w:rPr>
      </w:pPr>
      <w:r>
        <w:rPr>
          <w:sz w:val="26"/>
          <w:szCs w:val="26"/>
          <w:lang w:val="ro-RO"/>
        </w:rPr>
        <w:tab/>
        <w:t>-continuarea măsurilor pentru asigurarea protecţiei, securităţii şi sănătăţii personalului A.J.F.P.Buzău , cât şi a contribuabililor;</w:t>
      </w:r>
    </w:p>
    <w:p w:rsidR="00E27E10" w:rsidRDefault="00E27E10" w:rsidP="00436196">
      <w:pPr>
        <w:pStyle w:val="BodyText"/>
        <w:rPr>
          <w:sz w:val="26"/>
          <w:szCs w:val="26"/>
          <w:lang w:val="ro-RO"/>
        </w:rPr>
      </w:pPr>
      <w:r>
        <w:rPr>
          <w:sz w:val="26"/>
          <w:szCs w:val="26"/>
          <w:lang w:val="ro-RO"/>
        </w:rPr>
        <w:tab/>
        <w:t>-îmbunătăţirea capacităţii de lucru la distanţă a personalului.</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r>
        <w:rPr>
          <w:sz w:val="26"/>
          <w:szCs w:val="26"/>
          <w:lang w:val="ro-RO"/>
        </w:rPr>
        <w:t>În continuare, dorim ca A.J.F.P.Buzău să fie o administraţie fiscală eficientă , capabilă să răspundă provocărilor şi care să ofere servicii publice de calitate, un mediu corect tuturor categoriilor de contribuabili.</w:t>
      </w: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Default="00E27E10" w:rsidP="00BB7202">
      <w:pPr>
        <w:pStyle w:val="BodyText"/>
        <w:ind w:firstLine="720"/>
        <w:rPr>
          <w:sz w:val="26"/>
          <w:szCs w:val="26"/>
          <w:lang w:val="ro-RO"/>
        </w:rPr>
      </w:pPr>
    </w:p>
    <w:p w:rsidR="00E27E10" w:rsidRPr="00D17A3E" w:rsidRDefault="00E27E10" w:rsidP="00BB7202">
      <w:pPr>
        <w:pStyle w:val="BodyText"/>
        <w:ind w:firstLine="720"/>
        <w:rPr>
          <w:sz w:val="26"/>
          <w:szCs w:val="26"/>
          <w:lang w:val="ro-RO"/>
        </w:rPr>
      </w:pPr>
    </w:p>
    <w:p w:rsidR="00E27E10" w:rsidRPr="00D17A3E" w:rsidRDefault="00E27E10" w:rsidP="00BB7202">
      <w:pPr>
        <w:pStyle w:val="BodyText"/>
        <w:rPr>
          <w:sz w:val="26"/>
          <w:szCs w:val="26"/>
          <w:lang w:val="ro-RO"/>
        </w:rPr>
      </w:pPr>
      <w:r w:rsidRPr="00D17A3E">
        <w:rPr>
          <w:sz w:val="26"/>
          <w:szCs w:val="26"/>
          <w:lang w:val="ro-RO"/>
        </w:rPr>
        <w:t>Cu deosebită consideraţie,</w:t>
      </w:r>
    </w:p>
    <w:p w:rsidR="00E27E10" w:rsidRDefault="00E27E10" w:rsidP="00BB7202">
      <w:pPr>
        <w:pStyle w:val="BodyText"/>
        <w:ind w:firstLine="720"/>
        <w:rPr>
          <w:sz w:val="26"/>
          <w:szCs w:val="26"/>
          <w:lang w:val="ro-RO"/>
        </w:rPr>
      </w:pPr>
    </w:p>
    <w:p w:rsidR="00E27E10" w:rsidRDefault="00E27E10" w:rsidP="00BB7202">
      <w:pPr>
        <w:pStyle w:val="BodyText"/>
        <w:ind w:left="720"/>
        <w:rPr>
          <w:sz w:val="26"/>
          <w:szCs w:val="26"/>
          <w:lang w:val="ro-RO"/>
        </w:rPr>
      </w:pPr>
      <w:r w:rsidRPr="00D17A3E">
        <w:rPr>
          <w:sz w:val="26"/>
          <w:szCs w:val="26"/>
          <w:lang w:val="ro-RO"/>
        </w:rPr>
        <w:t xml:space="preserve">Şef administraţie  </w:t>
      </w:r>
    </w:p>
    <w:p w:rsidR="00E27E10" w:rsidRPr="00D17A3E" w:rsidRDefault="00E27E10" w:rsidP="00BB7202">
      <w:pPr>
        <w:pStyle w:val="BodyText"/>
        <w:ind w:left="720"/>
        <w:rPr>
          <w:sz w:val="26"/>
          <w:szCs w:val="26"/>
          <w:lang w:val="ro-RO"/>
        </w:rPr>
      </w:pPr>
      <w:r>
        <w:rPr>
          <w:sz w:val="26"/>
          <w:szCs w:val="26"/>
          <w:lang w:val="ro-RO"/>
        </w:rPr>
        <w:t>Viorica POSEA</w:t>
      </w:r>
      <w:r w:rsidRPr="00D17A3E">
        <w:rPr>
          <w:sz w:val="26"/>
          <w:szCs w:val="26"/>
          <w:lang w:val="ro-RO"/>
        </w:rPr>
        <w:tab/>
      </w:r>
      <w:r w:rsidRPr="00D17A3E">
        <w:rPr>
          <w:sz w:val="26"/>
          <w:szCs w:val="26"/>
          <w:lang w:val="ro-RO"/>
        </w:rPr>
        <w:tab/>
      </w:r>
      <w:r w:rsidRPr="00D17A3E">
        <w:rPr>
          <w:sz w:val="26"/>
          <w:szCs w:val="26"/>
          <w:lang w:val="ro-RO"/>
        </w:rPr>
        <w:tab/>
      </w:r>
      <w:r w:rsidRPr="00D17A3E">
        <w:rPr>
          <w:sz w:val="26"/>
          <w:szCs w:val="26"/>
          <w:lang w:val="ro-RO"/>
        </w:rPr>
        <w:tab/>
      </w:r>
      <w:r w:rsidRPr="00D17A3E">
        <w:rPr>
          <w:sz w:val="26"/>
          <w:szCs w:val="26"/>
          <w:lang w:val="ro-RO"/>
        </w:rPr>
        <w:tab/>
      </w:r>
      <w:r w:rsidRPr="00D17A3E">
        <w:rPr>
          <w:sz w:val="26"/>
          <w:szCs w:val="26"/>
          <w:lang w:val="ro-RO"/>
        </w:rPr>
        <w:tab/>
      </w:r>
      <w:r w:rsidRPr="00D17A3E">
        <w:rPr>
          <w:sz w:val="26"/>
          <w:szCs w:val="26"/>
          <w:lang w:val="ro-RO"/>
        </w:rPr>
        <w:tab/>
        <w:t xml:space="preserve">    </w:t>
      </w:r>
    </w:p>
    <w:p w:rsidR="00E27E10" w:rsidRPr="00D17A3E" w:rsidRDefault="00E27E10" w:rsidP="003B6DFD">
      <w:pPr>
        <w:ind w:left="912" w:right="960"/>
        <w:rPr>
          <w:sz w:val="26"/>
          <w:szCs w:val="2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Default="00E27E10" w:rsidP="003B6DFD">
      <w:pPr>
        <w:ind w:left="912" w:right="960"/>
        <w:rPr>
          <w:sz w:val="16"/>
          <w:szCs w:val="16"/>
          <w:lang w:val="ro-RO"/>
        </w:rPr>
      </w:pPr>
    </w:p>
    <w:p w:rsidR="00E27E10" w:rsidRPr="00D17A3E" w:rsidRDefault="00E27E10" w:rsidP="00D17A3E">
      <w:pPr>
        <w:ind w:left="912" w:right="960"/>
        <w:jc w:val="center"/>
        <w:rPr>
          <w:sz w:val="14"/>
          <w:szCs w:val="14"/>
        </w:rPr>
      </w:pPr>
      <w:r w:rsidRPr="00D17A3E">
        <w:rPr>
          <w:sz w:val="14"/>
          <w:szCs w:val="14"/>
          <w:lang w:val="ro-RO"/>
        </w:rPr>
        <w:t xml:space="preserve">Document care contine date cu caracter personal protejate de prevederile Regulamentului </w:t>
      </w:r>
      <w:r w:rsidRPr="00D17A3E">
        <w:rPr>
          <w:sz w:val="14"/>
          <w:szCs w:val="14"/>
          <w:lang w:val="en-US"/>
        </w:rPr>
        <w:t>(</w:t>
      </w:r>
      <w:r w:rsidRPr="00D17A3E">
        <w:rPr>
          <w:sz w:val="14"/>
          <w:szCs w:val="14"/>
          <w:lang w:val="ro-RO"/>
        </w:rPr>
        <w:t>UE) 2016/679</w:t>
      </w:r>
    </w:p>
    <w:sectPr w:rsidR="00E27E10" w:rsidRPr="00D17A3E" w:rsidSect="001E17D1">
      <w:headerReference w:type="default" r:id="rId12"/>
      <w:footerReference w:type="default" r:id="rId13"/>
      <w:pgSz w:w="11909" w:h="16834" w:code="9"/>
      <w:pgMar w:top="270" w:right="68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DD" w:rsidRDefault="00893EDD" w:rsidP="007C3DF5">
      <w:r>
        <w:separator/>
      </w:r>
    </w:p>
  </w:endnote>
  <w:endnote w:type="continuationSeparator" w:id="0">
    <w:p w:rsidR="00893EDD" w:rsidRDefault="00893EDD" w:rsidP="007C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10" w:rsidRDefault="00893EDD">
    <w:pPr>
      <w:pStyle w:val="Footer"/>
      <w:jc w:val="right"/>
    </w:pPr>
    <w:r>
      <w:fldChar w:fldCharType="begin"/>
    </w:r>
    <w:r>
      <w:instrText xml:space="preserve"> PAGE   \* MERGEFORMAT </w:instrText>
    </w:r>
    <w:r>
      <w:fldChar w:fldCharType="separate"/>
    </w:r>
    <w:r w:rsidR="00B00F22">
      <w:rPr>
        <w:noProof/>
      </w:rPr>
      <w:t>1</w:t>
    </w:r>
    <w:r>
      <w:rPr>
        <w:noProof/>
      </w:rPr>
      <w:fldChar w:fldCharType="end"/>
    </w:r>
  </w:p>
  <w:p w:rsidR="00E27E10" w:rsidRDefault="00E27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DD" w:rsidRDefault="00893EDD" w:rsidP="007C3DF5">
      <w:r>
        <w:separator/>
      </w:r>
    </w:p>
  </w:footnote>
  <w:footnote w:type="continuationSeparator" w:id="0">
    <w:p w:rsidR="00893EDD" w:rsidRDefault="00893EDD" w:rsidP="007C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10" w:rsidRDefault="00E27E10" w:rsidP="004A1743">
    <w:pPr>
      <w:pStyle w:val="Header"/>
      <w:ind w:left="-480"/>
      <w:rPr>
        <w:rFonts w:ascii="Arial" w:hAnsi="Arial" w:cs="Arial"/>
        <w:sz w:val="28"/>
        <w:szCs w:val="28"/>
        <w:lang w:val="es-ES"/>
      </w:rPr>
    </w:pPr>
    <w:r>
      <w:rPr>
        <w:rFonts w:ascii="Arial" w:hAnsi="Arial" w:cs="Arial"/>
        <w:sz w:val="28"/>
        <w:szCs w:val="28"/>
        <w:lang w:val="es-ES"/>
      </w:rPr>
      <w:tab/>
    </w:r>
    <w:r>
      <w:rPr>
        <w:rFonts w:ascii="Arial" w:hAnsi="Arial" w:cs="Arial"/>
        <w:sz w:val="28"/>
        <w:szCs w:val="28"/>
        <w:lang w:val="es-ES"/>
      </w:rPr>
      <w:tab/>
      <w:t xml:space="preserve">                             </w:t>
    </w:r>
  </w:p>
  <w:p w:rsidR="00E27E10" w:rsidRDefault="00E27E10" w:rsidP="004A1743">
    <w:pPr>
      <w:pStyle w:val="Header"/>
    </w:pPr>
    <w:r>
      <w:rPr>
        <w:rFonts w:ascii="Arial" w:hAnsi="Arial" w:cs="Arial"/>
        <w:sz w:val="28"/>
        <w:szCs w:val="28"/>
        <w:lang w:val="es-ES"/>
      </w:rPr>
      <w:tab/>
    </w:r>
    <w:r>
      <w:rPr>
        <w:rFonts w:ascii="Arial" w:hAnsi="Arial" w:cs="Arial"/>
        <w:sz w:val="28"/>
        <w:szCs w:val="28"/>
        <w:lang w:val="es-E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92"/>
    <w:multiLevelType w:val="hybridMultilevel"/>
    <w:tmpl w:val="2540517A"/>
    <w:lvl w:ilvl="0" w:tplc="0409000D">
      <w:start w:val="1"/>
      <w:numFmt w:val="bullet"/>
      <w:lvlText w:val=""/>
      <w:lvlJc w:val="left"/>
      <w:pPr>
        <w:ind w:left="1517" w:hanging="360"/>
      </w:pPr>
      <w:rPr>
        <w:rFonts w:ascii="Wingdings" w:hAnsi="Wingdings" w:hint="default"/>
      </w:rPr>
    </w:lvl>
    <w:lvl w:ilvl="1" w:tplc="04090003">
      <w:start w:val="1"/>
      <w:numFmt w:val="bullet"/>
      <w:lvlText w:val="o"/>
      <w:lvlJc w:val="left"/>
      <w:pPr>
        <w:ind w:left="2237" w:hanging="360"/>
      </w:pPr>
      <w:rPr>
        <w:rFonts w:ascii="Courier New" w:hAnsi="Courier New" w:cs="Courier New" w:hint="default"/>
      </w:rPr>
    </w:lvl>
    <w:lvl w:ilvl="2" w:tplc="04090005">
      <w:start w:val="1"/>
      <w:numFmt w:val="bullet"/>
      <w:lvlText w:val=""/>
      <w:lvlJc w:val="left"/>
      <w:pPr>
        <w:ind w:left="2957" w:hanging="360"/>
      </w:pPr>
      <w:rPr>
        <w:rFonts w:ascii="Wingdings" w:hAnsi="Wingdings" w:cs="Wingdings" w:hint="default"/>
      </w:rPr>
    </w:lvl>
    <w:lvl w:ilvl="3" w:tplc="04090001">
      <w:start w:val="1"/>
      <w:numFmt w:val="bullet"/>
      <w:lvlText w:val=""/>
      <w:lvlJc w:val="left"/>
      <w:pPr>
        <w:ind w:left="3677" w:hanging="360"/>
      </w:pPr>
      <w:rPr>
        <w:rFonts w:ascii="Symbol" w:hAnsi="Symbol" w:cs="Symbol" w:hint="default"/>
      </w:rPr>
    </w:lvl>
    <w:lvl w:ilvl="4" w:tplc="04090003">
      <w:start w:val="1"/>
      <w:numFmt w:val="bullet"/>
      <w:lvlText w:val="o"/>
      <w:lvlJc w:val="left"/>
      <w:pPr>
        <w:ind w:left="4397" w:hanging="360"/>
      </w:pPr>
      <w:rPr>
        <w:rFonts w:ascii="Courier New" w:hAnsi="Courier New" w:cs="Courier New" w:hint="default"/>
      </w:rPr>
    </w:lvl>
    <w:lvl w:ilvl="5" w:tplc="04090005">
      <w:start w:val="1"/>
      <w:numFmt w:val="bullet"/>
      <w:lvlText w:val=""/>
      <w:lvlJc w:val="left"/>
      <w:pPr>
        <w:ind w:left="5117" w:hanging="360"/>
      </w:pPr>
      <w:rPr>
        <w:rFonts w:ascii="Wingdings" w:hAnsi="Wingdings" w:cs="Wingdings" w:hint="default"/>
      </w:rPr>
    </w:lvl>
    <w:lvl w:ilvl="6" w:tplc="04090001">
      <w:start w:val="1"/>
      <w:numFmt w:val="bullet"/>
      <w:lvlText w:val=""/>
      <w:lvlJc w:val="left"/>
      <w:pPr>
        <w:ind w:left="5837" w:hanging="360"/>
      </w:pPr>
      <w:rPr>
        <w:rFonts w:ascii="Symbol" w:hAnsi="Symbol" w:cs="Symbol" w:hint="default"/>
      </w:rPr>
    </w:lvl>
    <w:lvl w:ilvl="7" w:tplc="04090003">
      <w:start w:val="1"/>
      <w:numFmt w:val="bullet"/>
      <w:lvlText w:val="o"/>
      <w:lvlJc w:val="left"/>
      <w:pPr>
        <w:ind w:left="6557" w:hanging="360"/>
      </w:pPr>
      <w:rPr>
        <w:rFonts w:ascii="Courier New" w:hAnsi="Courier New" w:cs="Courier New" w:hint="default"/>
      </w:rPr>
    </w:lvl>
    <w:lvl w:ilvl="8" w:tplc="04090005">
      <w:start w:val="1"/>
      <w:numFmt w:val="bullet"/>
      <w:lvlText w:val=""/>
      <w:lvlJc w:val="left"/>
      <w:pPr>
        <w:ind w:left="7277" w:hanging="360"/>
      </w:pPr>
      <w:rPr>
        <w:rFonts w:ascii="Wingdings" w:hAnsi="Wingdings" w:cs="Wingdings" w:hint="default"/>
      </w:rPr>
    </w:lvl>
  </w:abstractNum>
  <w:abstractNum w:abstractNumId="1">
    <w:nsid w:val="079E6E02"/>
    <w:multiLevelType w:val="multilevel"/>
    <w:tmpl w:val="15EA1AF8"/>
    <w:lvl w:ilvl="0">
      <w:numFmt w:val="bullet"/>
      <w:lvlText w:val=""/>
      <w:lvlJc w:val="left"/>
      <w:pPr>
        <w:tabs>
          <w:tab w:val="num" w:pos="928"/>
        </w:tabs>
        <w:ind w:left="928" w:hanging="360"/>
      </w:pPr>
      <w:rPr>
        <w:rFonts w:ascii="Symbol" w:eastAsia="Times New Roman" w:hAnsi="Symbol" w:hint="default"/>
      </w:rPr>
    </w:lvl>
    <w:lvl w:ilvl="1">
      <w:start w:val="1"/>
      <w:numFmt w:val="bullet"/>
      <w:lvlText w:val=""/>
      <w:lvlJc w:val="left"/>
      <w:pPr>
        <w:tabs>
          <w:tab w:val="num" w:pos="1288"/>
        </w:tabs>
        <w:ind w:left="1288" w:hanging="360"/>
      </w:pPr>
      <w:rPr>
        <w:rFonts w:ascii="Wingdings" w:hAnsi="Wingdings" w:cs="Wingdings"/>
      </w:rPr>
    </w:lvl>
    <w:lvl w:ilvl="2">
      <w:start w:val="1"/>
      <w:numFmt w:val="bullet"/>
      <w:lvlText w:val=""/>
      <w:lvlJc w:val="left"/>
      <w:pPr>
        <w:tabs>
          <w:tab w:val="num" w:pos="1648"/>
        </w:tabs>
        <w:ind w:left="1648" w:hanging="360"/>
      </w:pPr>
      <w:rPr>
        <w:rFonts w:ascii="Wingdings" w:hAnsi="Wingdings" w:cs="Wingdings"/>
      </w:rPr>
    </w:lvl>
    <w:lvl w:ilvl="3">
      <w:start w:val="1"/>
      <w:numFmt w:val="bullet"/>
      <w:lvlText w:val=""/>
      <w:lvlJc w:val="left"/>
      <w:pPr>
        <w:tabs>
          <w:tab w:val="num" w:pos="2008"/>
        </w:tabs>
        <w:ind w:left="2008" w:hanging="360"/>
      </w:pPr>
      <w:rPr>
        <w:rFonts w:ascii="Wingdings" w:hAnsi="Wingdings" w:cs="Wingdings"/>
      </w:rPr>
    </w:lvl>
    <w:lvl w:ilvl="4">
      <w:start w:val="1"/>
      <w:numFmt w:val="bullet"/>
      <w:lvlText w:val=""/>
      <w:lvlJc w:val="left"/>
      <w:pPr>
        <w:tabs>
          <w:tab w:val="num" w:pos="2368"/>
        </w:tabs>
        <w:ind w:left="2368" w:hanging="360"/>
      </w:pPr>
      <w:rPr>
        <w:rFonts w:ascii="Wingdings" w:hAnsi="Wingdings" w:cs="Wingdings"/>
      </w:rPr>
    </w:lvl>
    <w:lvl w:ilvl="5">
      <w:start w:val="1"/>
      <w:numFmt w:val="bullet"/>
      <w:lvlText w:val=""/>
      <w:lvlJc w:val="left"/>
      <w:pPr>
        <w:tabs>
          <w:tab w:val="num" w:pos="2728"/>
        </w:tabs>
        <w:ind w:left="2728" w:hanging="360"/>
      </w:pPr>
      <w:rPr>
        <w:rFonts w:ascii="Wingdings" w:hAnsi="Wingdings" w:cs="Wingdings"/>
      </w:rPr>
    </w:lvl>
    <w:lvl w:ilvl="6">
      <w:start w:val="1"/>
      <w:numFmt w:val="bullet"/>
      <w:lvlText w:val=""/>
      <w:lvlJc w:val="left"/>
      <w:pPr>
        <w:tabs>
          <w:tab w:val="num" w:pos="3088"/>
        </w:tabs>
        <w:ind w:left="3088" w:hanging="360"/>
      </w:pPr>
      <w:rPr>
        <w:rFonts w:ascii="Wingdings" w:hAnsi="Wingdings" w:cs="Wingdings"/>
      </w:rPr>
    </w:lvl>
    <w:lvl w:ilvl="7">
      <w:start w:val="1"/>
      <w:numFmt w:val="bullet"/>
      <w:lvlText w:val=""/>
      <w:lvlJc w:val="left"/>
      <w:pPr>
        <w:tabs>
          <w:tab w:val="num" w:pos="3448"/>
        </w:tabs>
        <w:ind w:left="3448" w:hanging="360"/>
      </w:pPr>
      <w:rPr>
        <w:rFonts w:ascii="Wingdings" w:hAnsi="Wingdings" w:cs="Wingdings"/>
      </w:rPr>
    </w:lvl>
    <w:lvl w:ilvl="8">
      <w:start w:val="1"/>
      <w:numFmt w:val="bullet"/>
      <w:lvlText w:val=""/>
      <w:lvlJc w:val="left"/>
      <w:pPr>
        <w:tabs>
          <w:tab w:val="num" w:pos="3808"/>
        </w:tabs>
        <w:ind w:left="3808" w:hanging="360"/>
      </w:pPr>
      <w:rPr>
        <w:rFonts w:ascii="Wingdings" w:hAnsi="Wingdings" w:cs="Wingdings"/>
      </w:rPr>
    </w:lvl>
  </w:abstractNum>
  <w:abstractNum w:abstractNumId="2">
    <w:nsid w:val="14CD28C5"/>
    <w:multiLevelType w:val="hybridMultilevel"/>
    <w:tmpl w:val="29D42908"/>
    <w:lvl w:ilvl="0" w:tplc="CC0452BA">
      <w:numFmt w:val="bullet"/>
      <w:lvlText w:val="-"/>
      <w:lvlJc w:val="left"/>
      <w:pPr>
        <w:ind w:left="1695" w:hanging="975"/>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F891265"/>
    <w:multiLevelType w:val="hybridMultilevel"/>
    <w:tmpl w:val="A69655B6"/>
    <w:lvl w:ilvl="0" w:tplc="3698B254">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2463104A"/>
    <w:multiLevelType w:val="hybridMultilevel"/>
    <w:tmpl w:val="5F547646"/>
    <w:lvl w:ilvl="0" w:tplc="0409000D">
      <w:start w:val="1"/>
      <w:numFmt w:val="bullet"/>
      <w:lvlText w:val=""/>
      <w:lvlJc w:val="left"/>
      <w:pPr>
        <w:tabs>
          <w:tab w:val="num" w:pos="928"/>
        </w:tabs>
        <w:ind w:left="928" w:hanging="360"/>
      </w:pPr>
      <w:rPr>
        <w:rFonts w:ascii="Wingdings" w:hAnsi="Wingdings" w:cs="Wingdings"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cs="Wingdings" w:hint="default"/>
      </w:rPr>
    </w:lvl>
    <w:lvl w:ilvl="3" w:tplc="04090001">
      <w:start w:val="1"/>
      <w:numFmt w:val="bullet"/>
      <w:lvlText w:val=""/>
      <w:lvlJc w:val="left"/>
      <w:pPr>
        <w:tabs>
          <w:tab w:val="num" w:pos="3088"/>
        </w:tabs>
        <w:ind w:left="3088" w:hanging="360"/>
      </w:pPr>
      <w:rPr>
        <w:rFonts w:ascii="Symbol" w:hAnsi="Symbol" w:cs="Symbol" w:hint="default"/>
      </w:rPr>
    </w:lvl>
    <w:lvl w:ilvl="4" w:tplc="04090003">
      <w:start w:val="1"/>
      <w:numFmt w:val="bullet"/>
      <w:lvlText w:val="o"/>
      <w:lvlJc w:val="left"/>
      <w:pPr>
        <w:tabs>
          <w:tab w:val="num" w:pos="3808"/>
        </w:tabs>
        <w:ind w:left="3808" w:hanging="360"/>
      </w:pPr>
      <w:rPr>
        <w:rFonts w:ascii="Courier New" w:hAnsi="Courier New" w:cs="Courier New" w:hint="default"/>
      </w:rPr>
    </w:lvl>
    <w:lvl w:ilvl="5" w:tplc="04090005">
      <w:start w:val="1"/>
      <w:numFmt w:val="bullet"/>
      <w:lvlText w:val=""/>
      <w:lvlJc w:val="left"/>
      <w:pPr>
        <w:tabs>
          <w:tab w:val="num" w:pos="4528"/>
        </w:tabs>
        <w:ind w:left="4528" w:hanging="360"/>
      </w:pPr>
      <w:rPr>
        <w:rFonts w:ascii="Wingdings" w:hAnsi="Wingdings" w:cs="Wingdings" w:hint="default"/>
      </w:rPr>
    </w:lvl>
    <w:lvl w:ilvl="6" w:tplc="04090001">
      <w:start w:val="1"/>
      <w:numFmt w:val="bullet"/>
      <w:lvlText w:val=""/>
      <w:lvlJc w:val="left"/>
      <w:pPr>
        <w:tabs>
          <w:tab w:val="num" w:pos="5248"/>
        </w:tabs>
        <w:ind w:left="5248" w:hanging="360"/>
      </w:pPr>
      <w:rPr>
        <w:rFonts w:ascii="Symbol" w:hAnsi="Symbol" w:cs="Symbol" w:hint="default"/>
      </w:rPr>
    </w:lvl>
    <w:lvl w:ilvl="7" w:tplc="04090003">
      <w:start w:val="1"/>
      <w:numFmt w:val="bullet"/>
      <w:lvlText w:val="o"/>
      <w:lvlJc w:val="left"/>
      <w:pPr>
        <w:tabs>
          <w:tab w:val="num" w:pos="5968"/>
        </w:tabs>
        <w:ind w:left="5968" w:hanging="360"/>
      </w:pPr>
      <w:rPr>
        <w:rFonts w:ascii="Courier New" w:hAnsi="Courier New" w:cs="Courier New" w:hint="default"/>
      </w:rPr>
    </w:lvl>
    <w:lvl w:ilvl="8" w:tplc="04090005">
      <w:start w:val="1"/>
      <w:numFmt w:val="bullet"/>
      <w:lvlText w:val=""/>
      <w:lvlJc w:val="left"/>
      <w:pPr>
        <w:tabs>
          <w:tab w:val="num" w:pos="6688"/>
        </w:tabs>
        <w:ind w:left="6688" w:hanging="360"/>
      </w:pPr>
      <w:rPr>
        <w:rFonts w:ascii="Wingdings" w:hAnsi="Wingdings" w:cs="Wingdings" w:hint="default"/>
      </w:rPr>
    </w:lvl>
  </w:abstractNum>
  <w:abstractNum w:abstractNumId="5">
    <w:nsid w:val="2BEF1922"/>
    <w:multiLevelType w:val="hybridMultilevel"/>
    <w:tmpl w:val="51FCC3B6"/>
    <w:lvl w:ilvl="0" w:tplc="432EB056">
      <w:start w:val="1"/>
      <w:numFmt w:val="bullet"/>
      <w:lvlText w:val="-"/>
      <w:lvlJc w:val="left"/>
      <w:pPr>
        <w:tabs>
          <w:tab w:val="num" w:pos="8265"/>
        </w:tabs>
        <w:ind w:left="8265" w:hanging="360"/>
      </w:pPr>
      <w:rPr>
        <w:rFonts w:ascii="Times New Roman" w:eastAsia="Times New Roman" w:hAnsi="Times New Roman" w:hint="default"/>
      </w:rPr>
    </w:lvl>
    <w:lvl w:ilvl="1" w:tplc="04090003">
      <w:start w:val="1"/>
      <w:numFmt w:val="bullet"/>
      <w:lvlText w:val="o"/>
      <w:lvlJc w:val="left"/>
      <w:pPr>
        <w:tabs>
          <w:tab w:val="num" w:pos="8985"/>
        </w:tabs>
        <w:ind w:left="8985" w:hanging="360"/>
      </w:pPr>
      <w:rPr>
        <w:rFonts w:ascii="Courier New" w:hAnsi="Courier New" w:cs="Courier New" w:hint="default"/>
      </w:rPr>
    </w:lvl>
    <w:lvl w:ilvl="2" w:tplc="04090005">
      <w:start w:val="1"/>
      <w:numFmt w:val="bullet"/>
      <w:lvlText w:val=""/>
      <w:lvlJc w:val="left"/>
      <w:pPr>
        <w:tabs>
          <w:tab w:val="num" w:pos="9705"/>
        </w:tabs>
        <w:ind w:left="9705" w:hanging="360"/>
      </w:pPr>
      <w:rPr>
        <w:rFonts w:ascii="Wingdings" w:hAnsi="Wingdings" w:cs="Wingdings" w:hint="default"/>
      </w:rPr>
    </w:lvl>
    <w:lvl w:ilvl="3" w:tplc="04090001">
      <w:start w:val="1"/>
      <w:numFmt w:val="bullet"/>
      <w:lvlText w:val=""/>
      <w:lvlJc w:val="left"/>
      <w:pPr>
        <w:tabs>
          <w:tab w:val="num" w:pos="10425"/>
        </w:tabs>
        <w:ind w:left="10425" w:hanging="360"/>
      </w:pPr>
      <w:rPr>
        <w:rFonts w:ascii="Symbol" w:hAnsi="Symbol" w:cs="Symbol" w:hint="default"/>
      </w:rPr>
    </w:lvl>
    <w:lvl w:ilvl="4" w:tplc="04090003">
      <w:start w:val="1"/>
      <w:numFmt w:val="bullet"/>
      <w:lvlText w:val="o"/>
      <w:lvlJc w:val="left"/>
      <w:pPr>
        <w:tabs>
          <w:tab w:val="num" w:pos="11145"/>
        </w:tabs>
        <w:ind w:left="11145" w:hanging="360"/>
      </w:pPr>
      <w:rPr>
        <w:rFonts w:ascii="Courier New" w:hAnsi="Courier New" w:cs="Courier New" w:hint="default"/>
      </w:rPr>
    </w:lvl>
    <w:lvl w:ilvl="5" w:tplc="04090005">
      <w:start w:val="1"/>
      <w:numFmt w:val="bullet"/>
      <w:lvlText w:val=""/>
      <w:lvlJc w:val="left"/>
      <w:pPr>
        <w:tabs>
          <w:tab w:val="num" w:pos="11865"/>
        </w:tabs>
        <w:ind w:left="11865" w:hanging="360"/>
      </w:pPr>
      <w:rPr>
        <w:rFonts w:ascii="Wingdings" w:hAnsi="Wingdings" w:cs="Wingdings" w:hint="default"/>
      </w:rPr>
    </w:lvl>
    <w:lvl w:ilvl="6" w:tplc="04090001">
      <w:start w:val="1"/>
      <w:numFmt w:val="bullet"/>
      <w:lvlText w:val=""/>
      <w:lvlJc w:val="left"/>
      <w:pPr>
        <w:tabs>
          <w:tab w:val="num" w:pos="12585"/>
        </w:tabs>
        <w:ind w:left="12585" w:hanging="360"/>
      </w:pPr>
      <w:rPr>
        <w:rFonts w:ascii="Symbol" w:hAnsi="Symbol" w:cs="Symbol" w:hint="default"/>
      </w:rPr>
    </w:lvl>
    <w:lvl w:ilvl="7" w:tplc="04090003">
      <w:start w:val="1"/>
      <w:numFmt w:val="bullet"/>
      <w:lvlText w:val="o"/>
      <w:lvlJc w:val="left"/>
      <w:pPr>
        <w:tabs>
          <w:tab w:val="num" w:pos="13305"/>
        </w:tabs>
        <w:ind w:left="13305" w:hanging="360"/>
      </w:pPr>
      <w:rPr>
        <w:rFonts w:ascii="Courier New" w:hAnsi="Courier New" w:cs="Courier New" w:hint="default"/>
      </w:rPr>
    </w:lvl>
    <w:lvl w:ilvl="8" w:tplc="04090005">
      <w:start w:val="1"/>
      <w:numFmt w:val="bullet"/>
      <w:lvlText w:val=""/>
      <w:lvlJc w:val="left"/>
      <w:pPr>
        <w:tabs>
          <w:tab w:val="num" w:pos="14025"/>
        </w:tabs>
        <w:ind w:left="14025" w:hanging="360"/>
      </w:pPr>
      <w:rPr>
        <w:rFonts w:ascii="Wingdings" w:hAnsi="Wingdings" w:cs="Wingdings" w:hint="default"/>
      </w:rPr>
    </w:lvl>
  </w:abstractNum>
  <w:abstractNum w:abstractNumId="6">
    <w:nsid w:val="33BD0711"/>
    <w:multiLevelType w:val="hybridMultilevel"/>
    <w:tmpl w:val="7160D58C"/>
    <w:lvl w:ilvl="0" w:tplc="04090005">
      <w:start w:val="1"/>
      <w:numFmt w:val="bullet"/>
      <w:lvlText w:val=""/>
      <w:lvlJc w:val="left"/>
      <w:pPr>
        <w:tabs>
          <w:tab w:val="num" w:pos="1500"/>
        </w:tabs>
        <w:ind w:left="1500" w:hanging="360"/>
      </w:pPr>
      <w:rPr>
        <w:rFonts w:ascii="Wingdings" w:hAnsi="Wingdings" w:cs="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7">
    <w:nsid w:val="37795AAB"/>
    <w:multiLevelType w:val="hybridMultilevel"/>
    <w:tmpl w:val="220A3B4C"/>
    <w:lvl w:ilvl="0" w:tplc="04090005">
      <w:start w:val="1"/>
      <w:numFmt w:val="bullet"/>
      <w:lvlText w:val=""/>
      <w:lvlJc w:val="left"/>
      <w:pPr>
        <w:tabs>
          <w:tab w:val="num" w:pos="2220"/>
        </w:tabs>
        <w:ind w:left="2220" w:hanging="360"/>
      </w:pPr>
      <w:rPr>
        <w:rFonts w:ascii="Wingdings" w:hAnsi="Wingdings" w:cs="Wingdings"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start w:val="1"/>
      <w:numFmt w:val="bullet"/>
      <w:lvlText w:val=""/>
      <w:lvlJc w:val="left"/>
      <w:pPr>
        <w:tabs>
          <w:tab w:val="num" w:pos="3660"/>
        </w:tabs>
        <w:ind w:left="3660" w:hanging="360"/>
      </w:pPr>
      <w:rPr>
        <w:rFonts w:ascii="Wingdings" w:hAnsi="Wingdings" w:cs="Wingdings" w:hint="default"/>
      </w:rPr>
    </w:lvl>
    <w:lvl w:ilvl="3" w:tplc="04090001">
      <w:start w:val="1"/>
      <w:numFmt w:val="bullet"/>
      <w:lvlText w:val=""/>
      <w:lvlJc w:val="left"/>
      <w:pPr>
        <w:tabs>
          <w:tab w:val="num" w:pos="4380"/>
        </w:tabs>
        <w:ind w:left="4380" w:hanging="360"/>
      </w:pPr>
      <w:rPr>
        <w:rFonts w:ascii="Symbol" w:hAnsi="Symbol" w:cs="Symbol" w:hint="default"/>
      </w:rPr>
    </w:lvl>
    <w:lvl w:ilvl="4" w:tplc="04090003">
      <w:start w:val="1"/>
      <w:numFmt w:val="bullet"/>
      <w:lvlText w:val="o"/>
      <w:lvlJc w:val="left"/>
      <w:pPr>
        <w:tabs>
          <w:tab w:val="num" w:pos="5100"/>
        </w:tabs>
        <w:ind w:left="5100" w:hanging="360"/>
      </w:pPr>
      <w:rPr>
        <w:rFonts w:ascii="Courier New" w:hAnsi="Courier New" w:cs="Courier New" w:hint="default"/>
      </w:rPr>
    </w:lvl>
    <w:lvl w:ilvl="5" w:tplc="04090005">
      <w:start w:val="1"/>
      <w:numFmt w:val="bullet"/>
      <w:lvlText w:val=""/>
      <w:lvlJc w:val="left"/>
      <w:pPr>
        <w:tabs>
          <w:tab w:val="num" w:pos="5820"/>
        </w:tabs>
        <w:ind w:left="5820" w:hanging="360"/>
      </w:pPr>
      <w:rPr>
        <w:rFonts w:ascii="Wingdings" w:hAnsi="Wingdings" w:cs="Wingdings" w:hint="default"/>
      </w:rPr>
    </w:lvl>
    <w:lvl w:ilvl="6" w:tplc="04090001">
      <w:start w:val="1"/>
      <w:numFmt w:val="bullet"/>
      <w:lvlText w:val=""/>
      <w:lvlJc w:val="left"/>
      <w:pPr>
        <w:tabs>
          <w:tab w:val="num" w:pos="6540"/>
        </w:tabs>
        <w:ind w:left="6540" w:hanging="360"/>
      </w:pPr>
      <w:rPr>
        <w:rFonts w:ascii="Symbol" w:hAnsi="Symbol" w:cs="Symbol" w:hint="default"/>
      </w:rPr>
    </w:lvl>
    <w:lvl w:ilvl="7" w:tplc="04090003">
      <w:start w:val="1"/>
      <w:numFmt w:val="bullet"/>
      <w:lvlText w:val="o"/>
      <w:lvlJc w:val="left"/>
      <w:pPr>
        <w:tabs>
          <w:tab w:val="num" w:pos="7260"/>
        </w:tabs>
        <w:ind w:left="7260" w:hanging="360"/>
      </w:pPr>
      <w:rPr>
        <w:rFonts w:ascii="Courier New" w:hAnsi="Courier New" w:cs="Courier New" w:hint="default"/>
      </w:rPr>
    </w:lvl>
    <w:lvl w:ilvl="8" w:tplc="04090005">
      <w:start w:val="1"/>
      <w:numFmt w:val="bullet"/>
      <w:lvlText w:val=""/>
      <w:lvlJc w:val="left"/>
      <w:pPr>
        <w:tabs>
          <w:tab w:val="num" w:pos="7980"/>
        </w:tabs>
        <w:ind w:left="7980" w:hanging="360"/>
      </w:pPr>
      <w:rPr>
        <w:rFonts w:ascii="Wingdings" w:hAnsi="Wingdings" w:cs="Wingdings" w:hint="default"/>
      </w:rPr>
    </w:lvl>
  </w:abstractNum>
  <w:abstractNum w:abstractNumId="8">
    <w:nsid w:val="3DBD406E"/>
    <w:multiLevelType w:val="hybridMultilevel"/>
    <w:tmpl w:val="3F5E4B40"/>
    <w:lvl w:ilvl="0" w:tplc="C772E57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3FD049A6"/>
    <w:multiLevelType w:val="hybridMultilevel"/>
    <w:tmpl w:val="AC56150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442D4628"/>
    <w:multiLevelType w:val="hybridMultilevel"/>
    <w:tmpl w:val="A544C69A"/>
    <w:lvl w:ilvl="0" w:tplc="04090005">
      <w:start w:val="1"/>
      <w:numFmt w:val="bullet"/>
      <w:lvlText w:val=""/>
      <w:lvlJc w:val="left"/>
      <w:pPr>
        <w:tabs>
          <w:tab w:val="num" w:pos="1386"/>
        </w:tabs>
        <w:ind w:left="1386" w:hanging="360"/>
      </w:pPr>
      <w:rPr>
        <w:rFonts w:ascii="Wingdings" w:hAnsi="Wingdings" w:cs="Wingdings" w:hint="default"/>
      </w:rPr>
    </w:lvl>
    <w:lvl w:ilvl="1" w:tplc="0409000B">
      <w:start w:val="1"/>
      <w:numFmt w:val="bullet"/>
      <w:lvlText w:val=""/>
      <w:lvlJc w:val="left"/>
      <w:pPr>
        <w:tabs>
          <w:tab w:val="num" w:pos="2160"/>
        </w:tabs>
        <w:ind w:left="2160" w:hanging="360"/>
      </w:pPr>
      <w:rPr>
        <w:rFonts w:ascii="Wingdings" w:hAnsi="Wingdings"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4BE54884"/>
    <w:multiLevelType w:val="hybridMultilevel"/>
    <w:tmpl w:val="ADC29F72"/>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4DB60B60"/>
    <w:multiLevelType w:val="hybridMultilevel"/>
    <w:tmpl w:val="2EB093DC"/>
    <w:lvl w:ilvl="0" w:tplc="3698B254">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4EC1199C"/>
    <w:multiLevelType w:val="hybridMultilevel"/>
    <w:tmpl w:val="97BC8D22"/>
    <w:lvl w:ilvl="0" w:tplc="0409000B">
      <w:start w:val="1"/>
      <w:numFmt w:val="bullet"/>
      <w:lvlText w:val=""/>
      <w:lvlJc w:val="left"/>
      <w:pPr>
        <w:tabs>
          <w:tab w:val="num" w:pos="1637"/>
        </w:tabs>
        <w:ind w:left="1637"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nsid w:val="58F3210B"/>
    <w:multiLevelType w:val="hybridMultilevel"/>
    <w:tmpl w:val="B094D2FA"/>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5AD15CBB"/>
    <w:multiLevelType w:val="hybridMultilevel"/>
    <w:tmpl w:val="A638595C"/>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7F315727"/>
    <w:multiLevelType w:val="hybridMultilevel"/>
    <w:tmpl w:val="5F14E0A4"/>
    <w:lvl w:ilvl="0" w:tplc="CC0452B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7FBF07EA"/>
    <w:multiLevelType w:val="hybridMultilevel"/>
    <w:tmpl w:val="545CD82C"/>
    <w:lvl w:ilvl="0" w:tplc="7FBCB230">
      <w:start w:val="1"/>
      <w:numFmt w:val="decimal"/>
      <w:lvlText w:val="%1)"/>
      <w:lvlJc w:val="left"/>
      <w:pPr>
        <w:tabs>
          <w:tab w:val="num" w:pos="643"/>
        </w:tabs>
        <w:ind w:left="643" w:hanging="360"/>
      </w:pPr>
      <w:rPr>
        <w:rFonts w:hint="default"/>
      </w:rPr>
    </w:lvl>
    <w:lvl w:ilvl="1" w:tplc="04090019">
      <w:start w:val="1"/>
      <w:numFmt w:val="lowerLetter"/>
      <w:lvlText w:val="%2."/>
      <w:lvlJc w:val="left"/>
      <w:pPr>
        <w:tabs>
          <w:tab w:val="num" w:pos="1363"/>
        </w:tabs>
        <w:ind w:left="1363" w:hanging="360"/>
      </w:pPr>
    </w:lvl>
    <w:lvl w:ilvl="2" w:tplc="0409001B">
      <w:start w:val="1"/>
      <w:numFmt w:val="lowerRoman"/>
      <w:lvlText w:val="%3."/>
      <w:lvlJc w:val="right"/>
      <w:pPr>
        <w:tabs>
          <w:tab w:val="num" w:pos="2083"/>
        </w:tabs>
        <w:ind w:left="2083" w:hanging="180"/>
      </w:pPr>
    </w:lvl>
    <w:lvl w:ilvl="3" w:tplc="0409000F">
      <w:start w:val="1"/>
      <w:numFmt w:val="decimal"/>
      <w:lvlText w:val="%4."/>
      <w:lvlJc w:val="left"/>
      <w:pPr>
        <w:tabs>
          <w:tab w:val="num" w:pos="2803"/>
        </w:tabs>
        <w:ind w:left="2803" w:hanging="360"/>
      </w:pPr>
    </w:lvl>
    <w:lvl w:ilvl="4" w:tplc="04090019">
      <w:start w:val="1"/>
      <w:numFmt w:val="lowerLetter"/>
      <w:lvlText w:val="%5."/>
      <w:lvlJc w:val="left"/>
      <w:pPr>
        <w:tabs>
          <w:tab w:val="num" w:pos="3523"/>
        </w:tabs>
        <w:ind w:left="3523" w:hanging="360"/>
      </w:pPr>
    </w:lvl>
    <w:lvl w:ilvl="5" w:tplc="0409001B">
      <w:start w:val="1"/>
      <w:numFmt w:val="lowerRoman"/>
      <w:lvlText w:val="%6."/>
      <w:lvlJc w:val="right"/>
      <w:pPr>
        <w:tabs>
          <w:tab w:val="num" w:pos="4243"/>
        </w:tabs>
        <w:ind w:left="4243" w:hanging="180"/>
      </w:pPr>
    </w:lvl>
    <w:lvl w:ilvl="6" w:tplc="0409000F">
      <w:start w:val="1"/>
      <w:numFmt w:val="decimal"/>
      <w:lvlText w:val="%7."/>
      <w:lvlJc w:val="left"/>
      <w:pPr>
        <w:tabs>
          <w:tab w:val="num" w:pos="4963"/>
        </w:tabs>
        <w:ind w:left="4963" w:hanging="360"/>
      </w:pPr>
    </w:lvl>
    <w:lvl w:ilvl="7" w:tplc="04090019">
      <w:start w:val="1"/>
      <w:numFmt w:val="lowerLetter"/>
      <w:lvlText w:val="%8."/>
      <w:lvlJc w:val="left"/>
      <w:pPr>
        <w:tabs>
          <w:tab w:val="num" w:pos="5683"/>
        </w:tabs>
        <w:ind w:left="5683" w:hanging="360"/>
      </w:pPr>
    </w:lvl>
    <w:lvl w:ilvl="8" w:tplc="0409001B">
      <w:start w:val="1"/>
      <w:numFmt w:val="lowerRoman"/>
      <w:lvlText w:val="%9."/>
      <w:lvlJc w:val="right"/>
      <w:pPr>
        <w:tabs>
          <w:tab w:val="num" w:pos="6403"/>
        </w:tabs>
        <w:ind w:left="6403" w:hanging="180"/>
      </w:pPr>
    </w:lvl>
  </w:abstractNum>
  <w:num w:numId="1">
    <w:abstractNumId w:val="9"/>
  </w:num>
  <w:num w:numId="2">
    <w:abstractNumId w:val="15"/>
  </w:num>
  <w:num w:numId="3">
    <w:abstractNumId w:val="11"/>
  </w:num>
  <w:num w:numId="4">
    <w:abstractNumId w:val="10"/>
  </w:num>
  <w:num w:numId="5">
    <w:abstractNumId w:val="13"/>
  </w:num>
  <w:num w:numId="6">
    <w:abstractNumId w:val="4"/>
  </w:num>
  <w:num w:numId="7">
    <w:abstractNumId w:val="1"/>
  </w:num>
  <w:num w:numId="8">
    <w:abstractNumId w:val="12"/>
  </w:num>
  <w:num w:numId="9">
    <w:abstractNumId w:val="3"/>
  </w:num>
  <w:num w:numId="10">
    <w:abstractNumId w:val="2"/>
  </w:num>
  <w:num w:numId="11">
    <w:abstractNumId w:val="0"/>
  </w:num>
  <w:num w:numId="12">
    <w:abstractNumId w:val="16"/>
  </w:num>
  <w:num w:numId="13">
    <w:abstractNumId w:val="17"/>
  </w:num>
  <w:num w:numId="14">
    <w:abstractNumId w:val="5"/>
  </w:num>
  <w:num w:numId="15">
    <w:abstractNumId w:val="8"/>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F5"/>
    <w:rsid w:val="000021B5"/>
    <w:rsid w:val="000039DF"/>
    <w:rsid w:val="000070BE"/>
    <w:rsid w:val="00007A42"/>
    <w:rsid w:val="000800DE"/>
    <w:rsid w:val="000945CB"/>
    <w:rsid w:val="000C19E8"/>
    <w:rsid w:val="000D2905"/>
    <w:rsid w:val="000F3E80"/>
    <w:rsid w:val="00114087"/>
    <w:rsid w:val="001704DC"/>
    <w:rsid w:val="001C059A"/>
    <w:rsid w:val="001C0B3C"/>
    <w:rsid w:val="001E17D1"/>
    <w:rsid w:val="001E19BF"/>
    <w:rsid w:val="001E5C18"/>
    <w:rsid w:val="001F61C8"/>
    <w:rsid w:val="001F64A8"/>
    <w:rsid w:val="0022514A"/>
    <w:rsid w:val="00232FD9"/>
    <w:rsid w:val="00236DE7"/>
    <w:rsid w:val="00246804"/>
    <w:rsid w:val="002468E3"/>
    <w:rsid w:val="00251790"/>
    <w:rsid w:val="00262CF7"/>
    <w:rsid w:val="00274FAB"/>
    <w:rsid w:val="002760A9"/>
    <w:rsid w:val="0028689E"/>
    <w:rsid w:val="002D648B"/>
    <w:rsid w:val="002E4FC5"/>
    <w:rsid w:val="00302B7B"/>
    <w:rsid w:val="0031164E"/>
    <w:rsid w:val="003145B1"/>
    <w:rsid w:val="00360F4D"/>
    <w:rsid w:val="003626FC"/>
    <w:rsid w:val="003B6DFD"/>
    <w:rsid w:val="003C15C3"/>
    <w:rsid w:val="003F4697"/>
    <w:rsid w:val="00402490"/>
    <w:rsid w:val="004327C0"/>
    <w:rsid w:val="00436196"/>
    <w:rsid w:val="00445243"/>
    <w:rsid w:val="004721F4"/>
    <w:rsid w:val="00483655"/>
    <w:rsid w:val="0049643C"/>
    <w:rsid w:val="004A1743"/>
    <w:rsid w:val="004B3210"/>
    <w:rsid w:val="004E2CEE"/>
    <w:rsid w:val="00501E10"/>
    <w:rsid w:val="00507DF4"/>
    <w:rsid w:val="005116FD"/>
    <w:rsid w:val="00513E63"/>
    <w:rsid w:val="005762DE"/>
    <w:rsid w:val="005A00FD"/>
    <w:rsid w:val="005A564E"/>
    <w:rsid w:val="005B0519"/>
    <w:rsid w:val="005D0B6B"/>
    <w:rsid w:val="0060350D"/>
    <w:rsid w:val="00604B04"/>
    <w:rsid w:val="00654D10"/>
    <w:rsid w:val="006B42B8"/>
    <w:rsid w:val="006D2308"/>
    <w:rsid w:val="006E3F9F"/>
    <w:rsid w:val="00776512"/>
    <w:rsid w:val="00776523"/>
    <w:rsid w:val="00794CB6"/>
    <w:rsid w:val="007A63F1"/>
    <w:rsid w:val="007C1255"/>
    <w:rsid w:val="007C3DF5"/>
    <w:rsid w:val="007D6EE0"/>
    <w:rsid w:val="007F45AB"/>
    <w:rsid w:val="00813D85"/>
    <w:rsid w:val="008244D7"/>
    <w:rsid w:val="00840F6A"/>
    <w:rsid w:val="008467EE"/>
    <w:rsid w:val="0085611E"/>
    <w:rsid w:val="00870119"/>
    <w:rsid w:val="00870C85"/>
    <w:rsid w:val="0087566C"/>
    <w:rsid w:val="00893EDD"/>
    <w:rsid w:val="008968F4"/>
    <w:rsid w:val="008A091D"/>
    <w:rsid w:val="008B44B8"/>
    <w:rsid w:val="008C2D61"/>
    <w:rsid w:val="008C3065"/>
    <w:rsid w:val="008D5457"/>
    <w:rsid w:val="008F338C"/>
    <w:rsid w:val="00943C34"/>
    <w:rsid w:val="0095364D"/>
    <w:rsid w:val="00956659"/>
    <w:rsid w:val="0098155C"/>
    <w:rsid w:val="009F4921"/>
    <w:rsid w:val="00A1068D"/>
    <w:rsid w:val="00A20690"/>
    <w:rsid w:val="00A73C7F"/>
    <w:rsid w:val="00A752A9"/>
    <w:rsid w:val="00A948CB"/>
    <w:rsid w:val="00A96EBB"/>
    <w:rsid w:val="00AA614D"/>
    <w:rsid w:val="00AA6338"/>
    <w:rsid w:val="00AD723B"/>
    <w:rsid w:val="00AF0AE9"/>
    <w:rsid w:val="00B00F22"/>
    <w:rsid w:val="00B05431"/>
    <w:rsid w:val="00B4172B"/>
    <w:rsid w:val="00B677BE"/>
    <w:rsid w:val="00B808DD"/>
    <w:rsid w:val="00BB7202"/>
    <w:rsid w:val="00BD36E3"/>
    <w:rsid w:val="00BD60C9"/>
    <w:rsid w:val="00BF16B7"/>
    <w:rsid w:val="00BF722A"/>
    <w:rsid w:val="00C1238B"/>
    <w:rsid w:val="00C32768"/>
    <w:rsid w:val="00C43CA3"/>
    <w:rsid w:val="00C92CC3"/>
    <w:rsid w:val="00CB60C4"/>
    <w:rsid w:val="00CB76EC"/>
    <w:rsid w:val="00CC05C8"/>
    <w:rsid w:val="00CF296C"/>
    <w:rsid w:val="00D07694"/>
    <w:rsid w:val="00D17A3E"/>
    <w:rsid w:val="00D23688"/>
    <w:rsid w:val="00D87585"/>
    <w:rsid w:val="00DA534A"/>
    <w:rsid w:val="00DC1251"/>
    <w:rsid w:val="00E00F97"/>
    <w:rsid w:val="00E27E10"/>
    <w:rsid w:val="00E414EF"/>
    <w:rsid w:val="00E73938"/>
    <w:rsid w:val="00E92225"/>
    <w:rsid w:val="00EA7701"/>
    <w:rsid w:val="00EF31BD"/>
    <w:rsid w:val="00F1025E"/>
    <w:rsid w:val="00F24C52"/>
    <w:rsid w:val="00F30F1D"/>
    <w:rsid w:val="00FA3817"/>
    <w:rsid w:val="00FB005A"/>
    <w:rsid w:val="00FB54A4"/>
    <w:rsid w:val="00FD78A5"/>
    <w:rsid w:val="00FF2B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F5"/>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7C3DF5"/>
    <w:pPr>
      <w:keepNext/>
      <w:outlineLvl w:val="0"/>
    </w:pPr>
    <w:rPr>
      <w:b/>
      <w:bCs/>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DF5"/>
    <w:rPr>
      <w:rFonts w:ascii="Times New Roman" w:hAnsi="Times New Roman" w:cs="Times New Roman"/>
      <w:b/>
      <w:bCs/>
      <w:noProof/>
      <w:lang w:val="ro-RO"/>
    </w:rPr>
  </w:style>
  <w:style w:type="paragraph" w:styleId="Header">
    <w:name w:val="header"/>
    <w:basedOn w:val="Normal"/>
    <w:link w:val="HeaderChar"/>
    <w:uiPriority w:val="99"/>
    <w:rsid w:val="007C3DF5"/>
    <w:pPr>
      <w:tabs>
        <w:tab w:val="center" w:pos="4320"/>
        <w:tab w:val="right" w:pos="8640"/>
      </w:tabs>
    </w:pPr>
  </w:style>
  <w:style w:type="character" w:customStyle="1" w:styleId="HeaderChar">
    <w:name w:val="Header Char"/>
    <w:basedOn w:val="DefaultParagraphFont"/>
    <w:link w:val="Header"/>
    <w:uiPriority w:val="99"/>
    <w:locked/>
    <w:rsid w:val="007C3DF5"/>
    <w:rPr>
      <w:rFonts w:ascii="Times New Roman" w:hAnsi="Times New Roman" w:cs="Times New Roman"/>
      <w:sz w:val="24"/>
      <w:szCs w:val="24"/>
      <w:lang w:val="en-GB"/>
    </w:rPr>
  </w:style>
  <w:style w:type="paragraph" w:styleId="Footer">
    <w:name w:val="footer"/>
    <w:basedOn w:val="Normal"/>
    <w:link w:val="FooterChar"/>
    <w:uiPriority w:val="99"/>
    <w:rsid w:val="007C3DF5"/>
    <w:pPr>
      <w:tabs>
        <w:tab w:val="center" w:pos="4320"/>
        <w:tab w:val="right" w:pos="8640"/>
      </w:tabs>
    </w:pPr>
  </w:style>
  <w:style w:type="character" w:customStyle="1" w:styleId="FooterChar">
    <w:name w:val="Footer Char"/>
    <w:basedOn w:val="DefaultParagraphFont"/>
    <w:link w:val="Footer"/>
    <w:uiPriority w:val="99"/>
    <w:locked/>
    <w:rsid w:val="007C3DF5"/>
    <w:rPr>
      <w:rFonts w:ascii="Times New Roman" w:hAnsi="Times New Roman" w:cs="Times New Roman"/>
      <w:sz w:val="24"/>
      <w:szCs w:val="24"/>
      <w:lang w:val="en-GB"/>
    </w:rPr>
  </w:style>
  <w:style w:type="character" w:styleId="Hyperlink">
    <w:name w:val="Hyperlink"/>
    <w:basedOn w:val="DefaultParagraphFont"/>
    <w:uiPriority w:val="99"/>
    <w:rsid w:val="007C3DF5"/>
    <w:rPr>
      <w:color w:val="0000FF"/>
      <w:u w:val="single"/>
    </w:rPr>
  </w:style>
  <w:style w:type="paragraph" w:styleId="BalloonText">
    <w:name w:val="Balloon Text"/>
    <w:basedOn w:val="Normal"/>
    <w:link w:val="BalloonTextChar"/>
    <w:uiPriority w:val="99"/>
    <w:semiHidden/>
    <w:rsid w:val="007C3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DF5"/>
    <w:rPr>
      <w:rFonts w:ascii="Tahoma" w:hAnsi="Tahoma" w:cs="Tahoma"/>
      <w:sz w:val="16"/>
      <w:szCs w:val="16"/>
      <w:lang w:val="en-GB"/>
    </w:rPr>
  </w:style>
  <w:style w:type="paragraph" w:styleId="BodyText">
    <w:name w:val="Body Text"/>
    <w:basedOn w:val="Normal"/>
    <w:link w:val="BodyTextChar"/>
    <w:uiPriority w:val="99"/>
    <w:rsid w:val="007C3DF5"/>
    <w:pPr>
      <w:suppressAutoHyphens/>
      <w:jc w:val="both"/>
    </w:pPr>
    <w:rPr>
      <w:sz w:val="28"/>
      <w:szCs w:val="28"/>
      <w:lang w:val="en-AU"/>
    </w:rPr>
  </w:style>
  <w:style w:type="character" w:customStyle="1" w:styleId="BodyTextChar">
    <w:name w:val="Body Text Char"/>
    <w:basedOn w:val="DefaultParagraphFont"/>
    <w:link w:val="BodyText"/>
    <w:uiPriority w:val="99"/>
    <w:locked/>
    <w:rsid w:val="007C3DF5"/>
    <w:rPr>
      <w:rFonts w:ascii="Times New Roman" w:hAnsi="Times New Roman" w:cs="Times New Roman"/>
      <w:sz w:val="20"/>
      <w:szCs w:val="20"/>
      <w:lang w:val="en-AU"/>
    </w:rPr>
  </w:style>
  <w:style w:type="character" w:styleId="Emphasis">
    <w:name w:val="Emphasis"/>
    <w:basedOn w:val="DefaultParagraphFont"/>
    <w:uiPriority w:val="99"/>
    <w:qFormat/>
    <w:rsid w:val="007C3DF5"/>
    <w:rPr>
      <w:i/>
      <w:iCs/>
    </w:rPr>
  </w:style>
  <w:style w:type="paragraph" w:styleId="BodyTextIndent3">
    <w:name w:val="Body Text Indent 3"/>
    <w:basedOn w:val="Normal"/>
    <w:link w:val="BodyTextIndent3Char"/>
    <w:uiPriority w:val="99"/>
    <w:rsid w:val="007C3DF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C3DF5"/>
    <w:rPr>
      <w:rFonts w:ascii="Times New Roman" w:hAnsi="Times New Roman" w:cs="Times New Roman"/>
      <w:sz w:val="16"/>
      <w:szCs w:val="16"/>
      <w:lang w:val="en-GB"/>
    </w:rPr>
  </w:style>
  <w:style w:type="table" w:styleId="TableGrid">
    <w:name w:val="Table Grid"/>
    <w:basedOn w:val="TableNormal"/>
    <w:uiPriority w:val="99"/>
    <w:rsid w:val="007C3D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uiPriority w:val="99"/>
    <w:rsid w:val="008D5457"/>
    <w:rPr>
      <w:rFonts w:eastAsia="Calibri"/>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F5"/>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7C3DF5"/>
    <w:pPr>
      <w:keepNext/>
      <w:outlineLvl w:val="0"/>
    </w:pPr>
    <w:rPr>
      <w:b/>
      <w:bCs/>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DF5"/>
    <w:rPr>
      <w:rFonts w:ascii="Times New Roman" w:hAnsi="Times New Roman" w:cs="Times New Roman"/>
      <w:b/>
      <w:bCs/>
      <w:noProof/>
      <w:lang w:val="ro-RO"/>
    </w:rPr>
  </w:style>
  <w:style w:type="paragraph" w:styleId="Header">
    <w:name w:val="header"/>
    <w:basedOn w:val="Normal"/>
    <w:link w:val="HeaderChar"/>
    <w:uiPriority w:val="99"/>
    <w:rsid w:val="007C3DF5"/>
    <w:pPr>
      <w:tabs>
        <w:tab w:val="center" w:pos="4320"/>
        <w:tab w:val="right" w:pos="8640"/>
      </w:tabs>
    </w:pPr>
  </w:style>
  <w:style w:type="character" w:customStyle="1" w:styleId="HeaderChar">
    <w:name w:val="Header Char"/>
    <w:basedOn w:val="DefaultParagraphFont"/>
    <w:link w:val="Header"/>
    <w:uiPriority w:val="99"/>
    <w:locked/>
    <w:rsid w:val="007C3DF5"/>
    <w:rPr>
      <w:rFonts w:ascii="Times New Roman" w:hAnsi="Times New Roman" w:cs="Times New Roman"/>
      <w:sz w:val="24"/>
      <w:szCs w:val="24"/>
      <w:lang w:val="en-GB"/>
    </w:rPr>
  </w:style>
  <w:style w:type="paragraph" w:styleId="Footer">
    <w:name w:val="footer"/>
    <w:basedOn w:val="Normal"/>
    <w:link w:val="FooterChar"/>
    <w:uiPriority w:val="99"/>
    <w:rsid w:val="007C3DF5"/>
    <w:pPr>
      <w:tabs>
        <w:tab w:val="center" w:pos="4320"/>
        <w:tab w:val="right" w:pos="8640"/>
      </w:tabs>
    </w:pPr>
  </w:style>
  <w:style w:type="character" w:customStyle="1" w:styleId="FooterChar">
    <w:name w:val="Footer Char"/>
    <w:basedOn w:val="DefaultParagraphFont"/>
    <w:link w:val="Footer"/>
    <w:uiPriority w:val="99"/>
    <w:locked/>
    <w:rsid w:val="007C3DF5"/>
    <w:rPr>
      <w:rFonts w:ascii="Times New Roman" w:hAnsi="Times New Roman" w:cs="Times New Roman"/>
      <w:sz w:val="24"/>
      <w:szCs w:val="24"/>
      <w:lang w:val="en-GB"/>
    </w:rPr>
  </w:style>
  <w:style w:type="character" w:styleId="Hyperlink">
    <w:name w:val="Hyperlink"/>
    <w:basedOn w:val="DefaultParagraphFont"/>
    <w:uiPriority w:val="99"/>
    <w:rsid w:val="007C3DF5"/>
    <w:rPr>
      <w:color w:val="0000FF"/>
      <w:u w:val="single"/>
    </w:rPr>
  </w:style>
  <w:style w:type="paragraph" w:styleId="BalloonText">
    <w:name w:val="Balloon Text"/>
    <w:basedOn w:val="Normal"/>
    <w:link w:val="BalloonTextChar"/>
    <w:uiPriority w:val="99"/>
    <w:semiHidden/>
    <w:rsid w:val="007C3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DF5"/>
    <w:rPr>
      <w:rFonts w:ascii="Tahoma" w:hAnsi="Tahoma" w:cs="Tahoma"/>
      <w:sz w:val="16"/>
      <w:szCs w:val="16"/>
      <w:lang w:val="en-GB"/>
    </w:rPr>
  </w:style>
  <w:style w:type="paragraph" w:styleId="BodyText">
    <w:name w:val="Body Text"/>
    <w:basedOn w:val="Normal"/>
    <w:link w:val="BodyTextChar"/>
    <w:uiPriority w:val="99"/>
    <w:rsid w:val="007C3DF5"/>
    <w:pPr>
      <w:suppressAutoHyphens/>
      <w:jc w:val="both"/>
    </w:pPr>
    <w:rPr>
      <w:sz w:val="28"/>
      <w:szCs w:val="28"/>
      <w:lang w:val="en-AU"/>
    </w:rPr>
  </w:style>
  <w:style w:type="character" w:customStyle="1" w:styleId="BodyTextChar">
    <w:name w:val="Body Text Char"/>
    <w:basedOn w:val="DefaultParagraphFont"/>
    <w:link w:val="BodyText"/>
    <w:uiPriority w:val="99"/>
    <w:locked/>
    <w:rsid w:val="007C3DF5"/>
    <w:rPr>
      <w:rFonts w:ascii="Times New Roman" w:hAnsi="Times New Roman" w:cs="Times New Roman"/>
      <w:sz w:val="20"/>
      <w:szCs w:val="20"/>
      <w:lang w:val="en-AU"/>
    </w:rPr>
  </w:style>
  <w:style w:type="character" w:styleId="Emphasis">
    <w:name w:val="Emphasis"/>
    <w:basedOn w:val="DefaultParagraphFont"/>
    <w:uiPriority w:val="99"/>
    <w:qFormat/>
    <w:rsid w:val="007C3DF5"/>
    <w:rPr>
      <w:i/>
      <w:iCs/>
    </w:rPr>
  </w:style>
  <w:style w:type="paragraph" w:styleId="BodyTextIndent3">
    <w:name w:val="Body Text Indent 3"/>
    <w:basedOn w:val="Normal"/>
    <w:link w:val="BodyTextIndent3Char"/>
    <w:uiPriority w:val="99"/>
    <w:rsid w:val="007C3DF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C3DF5"/>
    <w:rPr>
      <w:rFonts w:ascii="Times New Roman" w:hAnsi="Times New Roman" w:cs="Times New Roman"/>
      <w:sz w:val="16"/>
      <w:szCs w:val="16"/>
      <w:lang w:val="en-GB"/>
    </w:rPr>
  </w:style>
  <w:style w:type="table" w:styleId="TableGrid">
    <w:name w:val="Table Grid"/>
    <w:basedOn w:val="TableNormal"/>
    <w:uiPriority w:val="99"/>
    <w:rsid w:val="007C3D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uiPriority w:val="99"/>
    <w:rsid w:val="008D5457"/>
    <w:rPr>
      <w:rFonts w:eastAsia="Calibri"/>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24654077</dc:creator>
  <cp:lastModifiedBy>Prefectura</cp:lastModifiedBy>
  <cp:revision>2</cp:revision>
  <cp:lastPrinted>2021-07-20T12:15:00Z</cp:lastPrinted>
  <dcterms:created xsi:type="dcterms:W3CDTF">2021-07-20T13:38:00Z</dcterms:created>
  <dcterms:modified xsi:type="dcterms:W3CDTF">2021-07-20T13:38:00Z</dcterms:modified>
</cp:coreProperties>
</file>